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807C4B" w:rsidP="00054E0A">
      <w:pPr>
        <w:pStyle w:val="NoSpacing"/>
        <w:jc w:val="both"/>
        <w:rPr>
          <w:rFonts w:eastAsia="Times New Roman" w:cs="Arial"/>
          <w:b/>
          <w:bCs/>
          <w:szCs w:val="24"/>
        </w:rPr>
      </w:pPr>
    </w:p>
    <w:p w:rsidR="00054E0A" w:rsidRDefault="00ED346B" w:rsidP="00054E0A">
      <w:pPr>
        <w:pStyle w:val="NoSpacing"/>
        <w:jc w:val="both"/>
        <w:rPr>
          <w:rFonts w:eastAsia="Times New Roman" w:cs="Arial"/>
          <w:b/>
          <w:bCs/>
          <w:szCs w:val="24"/>
        </w:rPr>
      </w:pPr>
      <w:r>
        <w:rPr>
          <w:rFonts w:eastAsia="Times New Roman" w:cs="Arial"/>
          <w:b/>
          <w:bCs/>
          <w:szCs w:val="24"/>
        </w:rPr>
        <w:t xml:space="preserve">CITY DEAL </w:t>
      </w:r>
      <w:r w:rsidR="00807C4B">
        <w:rPr>
          <w:rFonts w:eastAsia="Times New Roman" w:cs="Arial"/>
          <w:b/>
          <w:bCs/>
          <w:szCs w:val="24"/>
        </w:rPr>
        <w:t xml:space="preserve">EXECUTIVE AND </w:t>
      </w:r>
      <w:r w:rsidR="00054E0A">
        <w:rPr>
          <w:rFonts w:eastAsia="Times New Roman" w:cs="Arial"/>
          <w:b/>
          <w:bCs/>
          <w:szCs w:val="24"/>
        </w:rPr>
        <w:t>STEWARDSHIP BOARD</w:t>
      </w:r>
    </w:p>
    <w:p w:rsidR="00D3134F" w:rsidRPr="00D3134F" w:rsidRDefault="00D3134F" w:rsidP="00D3134F">
      <w:pPr>
        <w:spacing w:after="0" w:line="240" w:lineRule="auto"/>
        <w:rPr>
          <w:rFonts w:ascii="Arial" w:hAnsi="Arial" w:cs="Arial"/>
          <w:b/>
          <w:bCs/>
          <w:sz w:val="24"/>
          <w:szCs w:val="24"/>
        </w:rPr>
      </w:pPr>
    </w:p>
    <w:p w:rsidR="00D3134F" w:rsidRPr="00D3134F" w:rsidRDefault="00D3134F"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sidR="008C47ED">
        <w:rPr>
          <w:rFonts w:ascii="Arial" w:hAnsi="Arial" w:cs="Arial"/>
          <w:b/>
          <w:sz w:val="24"/>
          <w:szCs w:val="24"/>
        </w:rPr>
        <w:t>NO</w:t>
      </w:r>
    </w:p>
    <w:p w:rsidR="00D3134F" w:rsidRPr="00D3134F" w:rsidRDefault="00D3134F" w:rsidP="00D3134F">
      <w:pPr>
        <w:spacing w:after="0" w:line="240" w:lineRule="auto"/>
        <w:rPr>
          <w:rFonts w:ascii="Arial" w:hAnsi="Arial" w:cs="Arial"/>
          <w:sz w:val="24"/>
          <w:szCs w:val="24"/>
        </w:rPr>
      </w:pPr>
    </w:p>
    <w:p w:rsidR="00D3134F" w:rsidRPr="00D3134F" w:rsidRDefault="00E1211C" w:rsidP="00D3134F">
      <w:pPr>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sidR="0061223E">
        <w:rPr>
          <w:rFonts w:ascii="Arial" w:hAnsi="Arial" w:cs="Arial"/>
          <w:sz w:val="24"/>
          <w:szCs w:val="24"/>
        </w:rPr>
        <w:t>Monday, 18 September 2017</w:t>
      </w:r>
      <w:r>
        <w:rPr>
          <w:rFonts w:ascii="Arial" w:hAnsi="Arial" w:cs="Arial"/>
          <w:sz w:val="24"/>
          <w:szCs w:val="24"/>
        </w:rPr>
        <w:fldChar w:fldCharType="end"/>
      </w:r>
    </w:p>
    <w:p w:rsidR="00D3134F" w:rsidRPr="00D3134F" w:rsidRDefault="00D3134F" w:rsidP="00D3134F">
      <w:pPr>
        <w:spacing w:after="0" w:line="240" w:lineRule="auto"/>
        <w:rPr>
          <w:rFonts w:ascii="Arial" w:hAnsi="Arial" w:cs="Arial"/>
          <w:sz w:val="24"/>
          <w:szCs w:val="24"/>
        </w:rPr>
      </w:pPr>
    </w:p>
    <w:p w:rsidR="00D3134F" w:rsidRPr="00D3134F" w:rsidRDefault="00E1211C"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sidR="0061223E">
        <w:rPr>
          <w:rFonts w:ascii="Arial" w:eastAsia="Times New Roman" w:hAnsi="Arial" w:cs="Arial"/>
          <w:b/>
          <w:sz w:val="24"/>
          <w:szCs w:val="24"/>
        </w:rPr>
        <w:t xml:space="preserve">Preston, South </w:t>
      </w:r>
      <w:proofErr w:type="spellStart"/>
      <w:r w:rsidR="0061223E">
        <w:rPr>
          <w:rFonts w:ascii="Arial" w:eastAsia="Times New Roman" w:hAnsi="Arial" w:cs="Arial"/>
          <w:b/>
          <w:sz w:val="24"/>
          <w:szCs w:val="24"/>
        </w:rPr>
        <w:t>Ribble</w:t>
      </w:r>
      <w:proofErr w:type="spellEnd"/>
      <w:r w:rsidR="0061223E">
        <w:rPr>
          <w:rFonts w:ascii="Arial" w:eastAsia="Times New Roman" w:hAnsi="Arial" w:cs="Arial"/>
          <w:b/>
          <w:sz w:val="24"/>
          <w:szCs w:val="24"/>
        </w:rPr>
        <w:t xml:space="preserve"> and Lancashire City Deal: HCA Business and Disposal Plan (2017-20)</w:t>
      </w:r>
      <w:r>
        <w:rPr>
          <w:rFonts w:ascii="Arial" w:eastAsia="Times New Roman" w:hAnsi="Arial" w:cs="Arial"/>
          <w:b/>
          <w:sz w:val="24"/>
          <w:szCs w:val="24"/>
        </w:rPr>
        <w:fldChar w:fldCharType="end"/>
      </w:r>
    </w:p>
    <w:p w:rsidR="00D3134F" w:rsidRPr="00D3134F" w:rsidRDefault="008C47ED" w:rsidP="00D3134F">
      <w:pPr>
        <w:spacing w:after="0" w:line="240" w:lineRule="auto"/>
        <w:rPr>
          <w:rFonts w:ascii="Arial" w:hAnsi="Arial" w:cs="Arial"/>
          <w:sz w:val="24"/>
          <w:szCs w:val="24"/>
        </w:rPr>
      </w:pPr>
      <w:r>
        <w:rPr>
          <w:rFonts w:ascii="Arial" w:hAnsi="Arial" w:cs="Arial"/>
          <w:sz w:val="24"/>
          <w:szCs w:val="24"/>
        </w:rPr>
        <w:t>(Appendix 'A' refers)</w:t>
      </w:r>
    </w:p>
    <w:p w:rsidR="00D3134F" w:rsidRPr="00D3134F" w:rsidRDefault="00D3134F" w:rsidP="00D3134F">
      <w:pPr>
        <w:spacing w:after="0" w:line="240" w:lineRule="auto"/>
        <w:rPr>
          <w:rFonts w:ascii="Arial" w:hAnsi="Arial" w:cs="Arial"/>
          <w:sz w:val="24"/>
          <w:szCs w:val="24"/>
        </w:rPr>
      </w:pPr>
    </w:p>
    <w:p w:rsidR="00D3134F" w:rsidRDefault="00D3134F" w:rsidP="008C47ED">
      <w:pPr>
        <w:spacing w:after="0" w:line="240" w:lineRule="auto"/>
        <w:ind w:right="-873"/>
        <w:rPr>
          <w:rFonts w:ascii="Arial" w:hAnsi="Arial" w:cs="Arial"/>
          <w:b/>
          <w:sz w:val="24"/>
          <w:szCs w:val="24"/>
        </w:rPr>
      </w:pPr>
      <w:r w:rsidRPr="00D3134F">
        <w:rPr>
          <w:rFonts w:ascii="Arial" w:hAnsi="Arial" w:cs="Arial"/>
          <w:b/>
          <w:sz w:val="24"/>
          <w:szCs w:val="24"/>
        </w:rPr>
        <w:t>Report Author:</w:t>
      </w:r>
      <w:r w:rsidR="00E1211C">
        <w:rPr>
          <w:rFonts w:ascii="Arial" w:hAnsi="Arial" w:cs="Arial"/>
          <w:b/>
          <w:sz w:val="24"/>
          <w:szCs w:val="24"/>
        </w:rPr>
        <w:t xml:space="preserve"> </w:t>
      </w:r>
      <w:r w:rsidR="008C47ED" w:rsidRPr="0053513F">
        <w:rPr>
          <w:rFonts w:ascii="Arial" w:hAnsi="Arial" w:cs="Arial"/>
          <w:b/>
          <w:sz w:val="24"/>
          <w:szCs w:val="24"/>
        </w:rPr>
        <w:t xml:space="preserve">Stuart Sage, Head of </w:t>
      </w:r>
      <w:r w:rsidR="008C47ED">
        <w:rPr>
          <w:rFonts w:ascii="Arial" w:hAnsi="Arial" w:cs="Arial"/>
          <w:b/>
          <w:sz w:val="24"/>
          <w:szCs w:val="24"/>
        </w:rPr>
        <w:t xml:space="preserve">Public Sector Land North West, </w:t>
      </w:r>
      <w:r w:rsidR="008C47ED" w:rsidRPr="0053513F">
        <w:rPr>
          <w:rFonts w:ascii="Arial" w:hAnsi="Arial" w:cs="Arial"/>
          <w:b/>
          <w:sz w:val="24"/>
          <w:szCs w:val="24"/>
        </w:rPr>
        <w:t>Homes and Communities Agency</w:t>
      </w:r>
    </w:p>
    <w:p w:rsidR="008C47ED" w:rsidRPr="00D3134F" w:rsidRDefault="008C47ED" w:rsidP="008C47ED">
      <w:pPr>
        <w:spacing w:after="0" w:line="240" w:lineRule="auto"/>
        <w:ind w:right="-873"/>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3134F" w:rsidRPr="00D3134F" w:rsidTr="000B1F3A">
        <w:tc>
          <w:tcPr>
            <w:tcW w:w="9180" w:type="dxa"/>
          </w:tcPr>
          <w:p w:rsidR="00D3134F" w:rsidRPr="00D3134F" w:rsidRDefault="00D3134F" w:rsidP="00D3134F">
            <w:pPr>
              <w:pStyle w:val="Header"/>
              <w:rPr>
                <w:rFonts w:ascii="Arial" w:hAnsi="Arial" w:cs="Arial"/>
                <w:sz w:val="24"/>
                <w:szCs w:val="24"/>
              </w:rPr>
            </w:pPr>
          </w:p>
          <w:p w:rsidR="00D3134F" w:rsidRPr="00D3134F" w:rsidRDefault="00D3134F" w:rsidP="00D3134F">
            <w:pPr>
              <w:pStyle w:val="Heading6"/>
              <w:spacing w:before="0" w:line="240" w:lineRule="auto"/>
              <w:rPr>
                <w:rFonts w:ascii="Arial" w:hAnsi="Arial" w:cs="Arial"/>
                <w:b/>
                <w:color w:val="auto"/>
              </w:rPr>
            </w:pPr>
            <w:r w:rsidRPr="00D3134F">
              <w:rPr>
                <w:rFonts w:ascii="Arial" w:hAnsi="Arial" w:cs="Arial"/>
                <w:b/>
                <w:color w:val="auto"/>
              </w:rPr>
              <w:t>Executive Summary</w:t>
            </w:r>
          </w:p>
          <w:p w:rsidR="00D3134F" w:rsidRPr="00D3134F" w:rsidRDefault="00D3134F" w:rsidP="00D3134F">
            <w:pPr>
              <w:spacing w:after="0" w:line="240" w:lineRule="auto"/>
              <w:rPr>
                <w:rFonts w:ascii="Arial" w:hAnsi="Arial" w:cs="Arial"/>
                <w:sz w:val="24"/>
                <w:szCs w:val="24"/>
              </w:rPr>
            </w:pPr>
          </w:p>
          <w:p w:rsidR="008C47ED" w:rsidRPr="008C47ED" w:rsidRDefault="008C47ED" w:rsidP="008C47ED">
            <w:pPr>
              <w:autoSpaceDE w:val="0"/>
              <w:autoSpaceDN w:val="0"/>
              <w:adjustRightInd w:val="0"/>
              <w:spacing w:after="0"/>
              <w:rPr>
                <w:rFonts w:ascii="Arial" w:eastAsia="Calibri" w:hAnsi="Arial" w:cs="Arial"/>
                <w:sz w:val="24"/>
                <w:szCs w:val="24"/>
              </w:rPr>
            </w:pPr>
            <w:r w:rsidRPr="008C47ED">
              <w:rPr>
                <w:rFonts w:ascii="Arial" w:eastAsia="Calibri" w:hAnsi="Arial" w:cs="Arial"/>
                <w:sz w:val="24"/>
                <w:szCs w:val="24"/>
              </w:rPr>
              <w:t>This report provides summary of the 2017-20 HCA Business and Disposal Plan.</w:t>
            </w:r>
          </w:p>
          <w:p w:rsidR="00D3134F" w:rsidRPr="00D3134F" w:rsidRDefault="00D3134F" w:rsidP="00D3134F">
            <w:pPr>
              <w:spacing w:after="0" w:line="240" w:lineRule="auto"/>
              <w:rPr>
                <w:rFonts w:ascii="Arial" w:hAnsi="Arial" w:cs="Arial"/>
                <w:sz w:val="24"/>
                <w:szCs w:val="24"/>
              </w:rPr>
            </w:pPr>
          </w:p>
          <w:p w:rsidR="00D3134F" w:rsidRPr="00D3134F" w:rsidRDefault="00D3134F" w:rsidP="00D3134F">
            <w:pPr>
              <w:pStyle w:val="Heading5"/>
              <w:spacing w:before="0" w:line="240" w:lineRule="auto"/>
              <w:rPr>
                <w:rFonts w:ascii="Arial" w:hAnsi="Arial" w:cs="Arial"/>
                <w:b/>
                <w:color w:val="auto"/>
              </w:rPr>
            </w:pPr>
            <w:r w:rsidRPr="00D3134F">
              <w:rPr>
                <w:rFonts w:ascii="Arial" w:hAnsi="Arial" w:cs="Arial"/>
                <w:b/>
                <w:color w:val="auto"/>
              </w:rPr>
              <w:t>Recommendation</w:t>
            </w:r>
          </w:p>
          <w:p w:rsidR="00D3134F" w:rsidRPr="00D3134F" w:rsidRDefault="00D3134F" w:rsidP="00D3134F">
            <w:pPr>
              <w:spacing w:after="0" w:line="240" w:lineRule="auto"/>
              <w:rPr>
                <w:rFonts w:ascii="Arial" w:hAnsi="Arial" w:cs="Arial"/>
                <w:sz w:val="24"/>
                <w:szCs w:val="24"/>
              </w:rPr>
            </w:pPr>
          </w:p>
          <w:p w:rsidR="008C47ED" w:rsidRPr="008C47ED" w:rsidRDefault="008C47ED" w:rsidP="008C47ED">
            <w:pPr>
              <w:autoSpaceDE w:val="0"/>
              <w:autoSpaceDN w:val="0"/>
              <w:adjustRightInd w:val="0"/>
              <w:spacing w:after="0"/>
              <w:rPr>
                <w:rFonts w:ascii="Arial" w:hAnsi="Arial" w:cs="Arial"/>
                <w:sz w:val="24"/>
                <w:szCs w:val="24"/>
              </w:rPr>
            </w:pPr>
            <w:r w:rsidRPr="008C47ED">
              <w:rPr>
                <w:rFonts w:ascii="Arial" w:hAnsi="Arial" w:cs="Arial"/>
                <w:sz w:val="24"/>
                <w:szCs w:val="24"/>
              </w:rPr>
              <w:t xml:space="preserve">The </w:t>
            </w:r>
            <w:r>
              <w:rPr>
                <w:rFonts w:ascii="Arial" w:hAnsi="Arial" w:cs="Arial"/>
                <w:sz w:val="24"/>
                <w:szCs w:val="24"/>
              </w:rPr>
              <w:t xml:space="preserve">City Deal </w:t>
            </w:r>
            <w:r w:rsidRPr="008C47ED">
              <w:rPr>
                <w:rFonts w:ascii="Arial" w:hAnsi="Arial" w:cs="Arial"/>
                <w:sz w:val="24"/>
                <w:szCs w:val="24"/>
              </w:rPr>
              <w:t xml:space="preserve">Stewardship Board and Executive are recommended to note: </w:t>
            </w:r>
          </w:p>
          <w:p w:rsidR="008C47ED" w:rsidRPr="0053513F" w:rsidRDefault="008C47ED" w:rsidP="008C47ED">
            <w:pPr>
              <w:autoSpaceDE w:val="0"/>
              <w:autoSpaceDN w:val="0"/>
              <w:adjustRightInd w:val="0"/>
              <w:spacing w:after="0"/>
              <w:rPr>
                <w:rFonts w:ascii="Arial" w:hAnsi="Arial" w:cs="Arial"/>
                <w:sz w:val="24"/>
                <w:szCs w:val="24"/>
              </w:rPr>
            </w:pPr>
          </w:p>
          <w:p w:rsidR="008C47ED" w:rsidRDefault="008C47ED" w:rsidP="008C47ED">
            <w:pPr>
              <w:pStyle w:val="ListParagraph"/>
              <w:numPr>
                <w:ilvl w:val="0"/>
                <w:numId w:val="7"/>
              </w:numPr>
              <w:spacing w:after="0"/>
              <w:ind w:right="-34"/>
              <w:rPr>
                <w:rFonts w:ascii="Arial" w:hAnsi="Arial" w:cs="Arial"/>
                <w:bCs/>
                <w:sz w:val="24"/>
              </w:rPr>
            </w:pPr>
            <w:r w:rsidRPr="008C47ED">
              <w:rPr>
                <w:rFonts w:ascii="Arial" w:hAnsi="Arial" w:cs="Arial"/>
                <w:bCs/>
                <w:sz w:val="24"/>
              </w:rPr>
              <w:t>The progress towards the successful delivery of the 11 HCA</w:t>
            </w:r>
            <w:r>
              <w:rPr>
                <w:rFonts w:ascii="Arial" w:hAnsi="Arial" w:cs="Arial"/>
                <w:bCs/>
                <w:sz w:val="24"/>
              </w:rPr>
              <w:t xml:space="preserve"> City Deal sites during 2016/17.</w:t>
            </w:r>
          </w:p>
          <w:p w:rsidR="008C47ED" w:rsidRDefault="008C47ED" w:rsidP="008C47ED">
            <w:pPr>
              <w:pStyle w:val="ListParagraph"/>
              <w:numPr>
                <w:ilvl w:val="0"/>
                <w:numId w:val="7"/>
              </w:numPr>
              <w:spacing w:after="0"/>
              <w:ind w:right="-34"/>
              <w:rPr>
                <w:rFonts w:ascii="Arial" w:hAnsi="Arial" w:cs="Arial"/>
                <w:bCs/>
                <w:sz w:val="24"/>
              </w:rPr>
            </w:pPr>
            <w:r w:rsidRPr="008C47ED">
              <w:rPr>
                <w:rFonts w:ascii="Arial" w:hAnsi="Arial" w:cs="Arial"/>
                <w:bCs/>
                <w:sz w:val="24"/>
              </w:rPr>
              <w:t>HCA’s current and future investment into the City Deal</w:t>
            </w:r>
            <w:r>
              <w:rPr>
                <w:rFonts w:ascii="Arial" w:hAnsi="Arial" w:cs="Arial"/>
                <w:bCs/>
                <w:sz w:val="24"/>
              </w:rPr>
              <w:t>; and</w:t>
            </w:r>
          </w:p>
          <w:p w:rsidR="008C47ED" w:rsidRPr="008C47ED" w:rsidRDefault="008C47ED" w:rsidP="008C47ED">
            <w:pPr>
              <w:pStyle w:val="ListParagraph"/>
              <w:numPr>
                <w:ilvl w:val="0"/>
                <w:numId w:val="7"/>
              </w:numPr>
              <w:spacing w:after="0"/>
              <w:ind w:right="-34"/>
              <w:rPr>
                <w:rFonts w:ascii="Arial" w:hAnsi="Arial" w:cs="Arial"/>
                <w:bCs/>
                <w:sz w:val="24"/>
              </w:rPr>
            </w:pPr>
            <w:r w:rsidRPr="008C47ED">
              <w:rPr>
                <w:rFonts w:ascii="Arial" w:hAnsi="Arial" w:cs="Arial"/>
                <w:bCs/>
                <w:sz w:val="24"/>
              </w:rPr>
              <w:t>The updated Business and Disposal Plan (BDP) to take the site milestones through to March 2020</w:t>
            </w:r>
            <w:r>
              <w:rPr>
                <w:rFonts w:ascii="Arial" w:hAnsi="Arial" w:cs="Arial"/>
                <w:bCs/>
                <w:sz w:val="24"/>
              </w:rPr>
              <w:t>.</w:t>
            </w:r>
          </w:p>
          <w:p w:rsidR="00D3134F" w:rsidRPr="00D3134F" w:rsidRDefault="00D3134F" w:rsidP="00D3134F">
            <w:pPr>
              <w:spacing w:after="0" w:line="240" w:lineRule="auto"/>
              <w:rPr>
                <w:rFonts w:ascii="Arial" w:hAnsi="Arial" w:cs="Arial"/>
                <w:sz w:val="24"/>
                <w:szCs w:val="24"/>
              </w:rPr>
            </w:pPr>
          </w:p>
        </w:tc>
      </w:tr>
    </w:tbl>
    <w:p w:rsidR="00D3134F" w:rsidRPr="00D3134F" w:rsidRDefault="00D3134F" w:rsidP="00D3134F">
      <w:pPr>
        <w:pStyle w:val="Header"/>
        <w:rPr>
          <w:rFonts w:ascii="Arial" w:hAnsi="Arial" w:cs="Arial"/>
          <w:sz w:val="24"/>
          <w:szCs w:val="24"/>
        </w:rPr>
      </w:pPr>
    </w:p>
    <w:p w:rsidR="00D3134F" w:rsidRPr="00D3134F" w:rsidRDefault="00D3134F" w:rsidP="00D3134F">
      <w:pPr>
        <w:spacing w:after="0" w:line="240" w:lineRule="auto"/>
        <w:rPr>
          <w:rFonts w:ascii="Arial" w:hAnsi="Arial" w:cs="Arial"/>
          <w:b/>
          <w:sz w:val="24"/>
          <w:szCs w:val="24"/>
        </w:rPr>
      </w:pPr>
      <w:r w:rsidRPr="00D3134F">
        <w:rPr>
          <w:rFonts w:ascii="Arial" w:hAnsi="Arial" w:cs="Arial"/>
          <w:b/>
          <w:sz w:val="24"/>
          <w:szCs w:val="24"/>
        </w:rPr>
        <w:t xml:space="preserve">Background and Advice </w:t>
      </w:r>
    </w:p>
    <w:p w:rsidR="00D3134F" w:rsidRPr="00D3134F" w:rsidRDefault="00D3134F" w:rsidP="00D3134F">
      <w:pPr>
        <w:spacing w:after="0" w:line="240" w:lineRule="auto"/>
        <w:rPr>
          <w:rFonts w:ascii="Arial" w:hAnsi="Arial" w:cs="Arial"/>
          <w:b/>
          <w:sz w:val="24"/>
          <w:szCs w:val="24"/>
        </w:rPr>
      </w:pPr>
    </w:p>
    <w:p w:rsidR="008C47ED" w:rsidRPr="00962E0F" w:rsidRDefault="008C47ED" w:rsidP="008C47ED">
      <w:pPr>
        <w:autoSpaceDE w:val="0"/>
        <w:autoSpaceDN w:val="0"/>
        <w:adjustRightInd w:val="0"/>
        <w:spacing w:after="0" w:line="240" w:lineRule="auto"/>
        <w:rPr>
          <w:rFonts w:ascii="Arial" w:hAnsi="Arial" w:cs="Arial"/>
          <w:b/>
          <w:sz w:val="24"/>
          <w:szCs w:val="24"/>
        </w:rPr>
      </w:pPr>
      <w:r w:rsidRPr="00962E0F">
        <w:rPr>
          <w:rFonts w:ascii="Arial" w:hAnsi="Arial" w:cs="Arial"/>
          <w:b/>
          <w:sz w:val="24"/>
          <w:szCs w:val="24"/>
        </w:rPr>
        <w:t>HCA Delivery in 2016 - 2017</w:t>
      </w:r>
    </w:p>
    <w:p w:rsidR="008C47ED" w:rsidRPr="002250ED" w:rsidRDefault="008C47ED" w:rsidP="008C47ED">
      <w:pPr>
        <w:pStyle w:val="ListParagraph"/>
        <w:autoSpaceDE w:val="0"/>
        <w:autoSpaceDN w:val="0"/>
        <w:adjustRightInd w:val="0"/>
        <w:spacing w:after="0" w:line="240" w:lineRule="auto"/>
        <w:ind w:left="709"/>
        <w:rPr>
          <w:rFonts w:ascii="Arial" w:hAnsi="Arial" w:cs="Arial"/>
          <w:sz w:val="24"/>
          <w:szCs w:val="24"/>
        </w:rPr>
      </w:pPr>
    </w:p>
    <w:p w:rsidR="008C47ED" w:rsidRDefault="008C47ED" w:rsidP="008C47ED">
      <w:pPr>
        <w:spacing w:after="0" w:line="240" w:lineRule="auto"/>
        <w:rPr>
          <w:rFonts w:ascii="Arial" w:hAnsi="Arial" w:cs="Arial"/>
          <w:sz w:val="24"/>
        </w:rPr>
      </w:pPr>
      <w:r w:rsidRPr="00962E0F">
        <w:rPr>
          <w:rFonts w:ascii="Arial" w:hAnsi="Arial" w:cs="Arial"/>
          <w:sz w:val="24"/>
        </w:rPr>
        <w:t xml:space="preserve">Excellent progress has been made by the HCA during year 3, April 2016 – March 2017. Four of the 11 HCA City Deal sites (Cottam Hall (Phases 1 and 2), Whittingham Hospital (Phase 1), Croston Road South and Land at </w:t>
      </w:r>
      <w:proofErr w:type="spellStart"/>
      <w:r w:rsidRPr="00962E0F">
        <w:rPr>
          <w:rFonts w:ascii="Arial" w:hAnsi="Arial" w:cs="Arial"/>
          <w:sz w:val="24"/>
        </w:rPr>
        <w:t>Eastway</w:t>
      </w:r>
      <w:proofErr w:type="spellEnd"/>
      <w:r w:rsidRPr="00962E0F">
        <w:rPr>
          <w:rFonts w:ascii="Arial" w:hAnsi="Arial" w:cs="Arial"/>
          <w:sz w:val="24"/>
        </w:rPr>
        <w:t xml:space="preserve"> (residential)) have legal agreements in place with developer and are under construction. </w:t>
      </w:r>
    </w:p>
    <w:p w:rsidR="008C47ED" w:rsidRDefault="008C47ED" w:rsidP="008C47ED">
      <w:pPr>
        <w:spacing w:after="0" w:line="240" w:lineRule="auto"/>
        <w:rPr>
          <w:rFonts w:ascii="Arial" w:hAnsi="Arial" w:cs="Arial"/>
          <w:sz w:val="24"/>
        </w:rPr>
      </w:pPr>
    </w:p>
    <w:p w:rsidR="008C47ED" w:rsidRDefault="008C47ED" w:rsidP="008C47ED">
      <w:pPr>
        <w:spacing w:after="0" w:line="240" w:lineRule="auto"/>
        <w:rPr>
          <w:rFonts w:ascii="Arial" w:hAnsi="Arial" w:cs="Arial"/>
          <w:sz w:val="24"/>
        </w:rPr>
      </w:pPr>
      <w:r w:rsidRPr="00962E0F">
        <w:rPr>
          <w:rFonts w:ascii="Arial" w:hAnsi="Arial" w:cs="Arial"/>
          <w:sz w:val="24"/>
        </w:rPr>
        <w:t xml:space="preserve">One site (Brindle Road) completed in April 2016 and part of another site (Preston East) was disposed of in December 2016. </w:t>
      </w:r>
    </w:p>
    <w:p w:rsidR="008C47ED" w:rsidRDefault="008C47ED" w:rsidP="008C47ED">
      <w:pPr>
        <w:spacing w:after="0" w:line="240" w:lineRule="auto"/>
        <w:rPr>
          <w:rFonts w:ascii="Arial" w:hAnsi="Arial" w:cs="Arial"/>
          <w:sz w:val="24"/>
        </w:rPr>
      </w:pPr>
    </w:p>
    <w:p w:rsidR="008C47ED" w:rsidRPr="00962E0F" w:rsidRDefault="008C47ED" w:rsidP="008C47ED">
      <w:pPr>
        <w:spacing w:after="0" w:line="240" w:lineRule="auto"/>
        <w:rPr>
          <w:rFonts w:ascii="Arial" w:hAnsi="Arial" w:cs="Arial"/>
          <w:sz w:val="24"/>
        </w:rPr>
      </w:pPr>
      <w:r w:rsidRPr="00962E0F">
        <w:rPr>
          <w:rFonts w:ascii="Arial" w:hAnsi="Arial" w:cs="Arial"/>
          <w:sz w:val="24"/>
        </w:rPr>
        <w:t xml:space="preserve">Since the end of the 2016/17 financial year HCA have also exchanged contracts with an occupier who will develop the </w:t>
      </w:r>
      <w:proofErr w:type="spellStart"/>
      <w:r w:rsidRPr="00962E0F">
        <w:rPr>
          <w:rFonts w:ascii="Arial" w:hAnsi="Arial" w:cs="Arial"/>
          <w:sz w:val="24"/>
        </w:rPr>
        <w:t>Eastway</w:t>
      </w:r>
      <w:proofErr w:type="spellEnd"/>
      <w:r w:rsidRPr="00962E0F">
        <w:rPr>
          <w:rFonts w:ascii="Arial" w:hAnsi="Arial" w:cs="Arial"/>
          <w:sz w:val="24"/>
        </w:rPr>
        <w:t xml:space="preserve"> commercial site.</w:t>
      </w:r>
    </w:p>
    <w:p w:rsidR="008C47ED" w:rsidRPr="00FA17EE" w:rsidRDefault="008C47ED" w:rsidP="008C47ED">
      <w:pPr>
        <w:pStyle w:val="ListParagraph"/>
        <w:spacing w:after="0" w:line="240" w:lineRule="auto"/>
        <w:rPr>
          <w:rFonts w:ascii="Arial" w:hAnsi="Arial" w:cs="Arial"/>
          <w:b/>
          <w:color w:val="FF0000"/>
          <w:sz w:val="24"/>
          <w:szCs w:val="24"/>
        </w:rPr>
      </w:pPr>
    </w:p>
    <w:p w:rsidR="008C47ED" w:rsidRDefault="008C47ED" w:rsidP="008C47ED">
      <w:pPr>
        <w:spacing w:after="0" w:line="240" w:lineRule="auto"/>
        <w:rPr>
          <w:rFonts w:ascii="Arial" w:hAnsi="Arial" w:cs="Arial"/>
          <w:b/>
          <w:sz w:val="24"/>
        </w:rPr>
      </w:pPr>
    </w:p>
    <w:p w:rsidR="008C47ED" w:rsidRPr="008C47ED" w:rsidRDefault="008C47ED" w:rsidP="008C47ED">
      <w:pPr>
        <w:spacing w:after="0" w:line="240" w:lineRule="auto"/>
        <w:rPr>
          <w:rFonts w:ascii="Arial" w:hAnsi="Arial" w:cs="Arial"/>
          <w:b/>
          <w:sz w:val="24"/>
        </w:rPr>
      </w:pPr>
      <w:r w:rsidRPr="008C47ED">
        <w:rPr>
          <w:rFonts w:ascii="Arial" w:hAnsi="Arial" w:cs="Arial"/>
          <w:b/>
          <w:sz w:val="24"/>
        </w:rPr>
        <w:t xml:space="preserve">Outputs </w:t>
      </w:r>
    </w:p>
    <w:p w:rsidR="008C47ED" w:rsidRDefault="008C47ED" w:rsidP="008C47ED">
      <w:pPr>
        <w:spacing w:after="0" w:line="240" w:lineRule="auto"/>
        <w:rPr>
          <w:rFonts w:ascii="Arial" w:hAnsi="Arial" w:cs="Arial"/>
          <w:sz w:val="24"/>
        </w:rPr>
      </w:pPr>
    </w:p>
    <w:p w:rsidR="008C47ED" w:rsidRDefault="008C47ED" w:rsidP="008C47ED">
      <w:pPr>
        <w:spacing w:after="0" w:line="240" w:lineRule="auto"/>
        <w:rPr>
          <w:rFonts w:ascii="Arial" w:hAnsi="Arial" w:cs="Arial"/>
          <w:sz w:val="24"/>
        </w:rPr>
      </w:pPr>
      <w:r w:rsidRPr="00962E0F">
        <w:rPr>
          <w:rFonts w:ascii="Arial" w:hAnsi="Arial" w:cs="Arial"/>
          <w:sz w:val="24"/>
        </w:rPr>
        <w:t xml:space="preserve">The key HCA sites outputs up to the end of year 3 include: </w:t>
      </w:r>
    </w:p>
    <w:p w:rsidR="008C47ED" w:rsidRPr="00962E0F" w:rsidRDefault="008C47ED" w:rsidP="008C47ED">
      <w:pPr>
        <w:spacing w:after="0" w:line="240" w:lineRule="auto"/>
        <w:rPr>
          <w:rFonts w:ascii="Arial" w:hAnsi="Arial" w:cs="Arial"/>
          <w:sz w:val="24"/>
        </w:rPr>
      </w:pPr>
    </w:p>
    <w:p w:rsidR="008C47ED" w:rsidRPr="00962E0F" w:rsidRDefault="008C47ED" w:rsidP="008C47ED">
      <w:pPr>
        <w:numPr>
          <w:ilvl w:val="0"/>
          <w:numId w:val="8"/>
        </w:numPr>
        <w:spacing w:after="0" w:line="240" w:lineRule="auto"/>
        <w:ind w:left="993"/>
        <w:rPr>
          <w:rFonts w:ascii="Arial" w:hAnsi="Arial" w:cs="Arial"/>
          <w:sz w:val="24"/>
        </w:rPr>
      </w:pPr>
      <w:r w:rsidRPr="00962E0F">
        <w:rPr>
          <w:rFonts w:ascii="Arial" w:hAnsi="Arial" w:cs="Arial"/>
          <w:sz w:val="24"/>
        </w:rPr>
        <w:t>HCA have secured outline planning permission with consent for 2,871.</w:t>
      </w:r>
    </w:p>
    <w:p w:rsidR="008C47ED" w:rsidRPr="00962E0F" w:rsidRDefault="008C47ED" w:rsidP="008C47ED">
      <w:pPr>
        <w:numPr>
          <w:ilvl w:val="0"/>
          <w:numId w:val="8"/>
        </w:numPr>
        <w:spacing w:after="0" w:line="240" w:lineRule="auto"/>
        <w:ind w:left="993"/>
        <w:rPr>
          <w:rFonts w:ascii="Arial" w:hAnsi="Arial" w:cs="Arial"/>
          <w:sz w:val="24"/>
        </w:rPr>
      </w:pPr>
      <w:r w:rsidRPr="00962E0F">
        <w:rPr>
          <w:rFonts w:ascii="Arial" w:hAnsi="Arial" w:cs="Arial"/>
          <w:sz w:val="24"/>
        </w:rPr>
        <w:t>These sites are currently being delivered across 6 development outlets/phases.</w:t>
      </w:r>
    </w:p>
    <w:p w:rsidR="008C47ED" w:rsidRPr="00962E0F" w:rsidRDefault="008C47ED" w:rsidP="008C47ED">
      <w:pPr>
        <w:numPr>
          <w:ilvl w:val="0"/>
          <w:numId w:val="8"/>
        </w:numPr>
        <w:spacing w:after="0" w:line="240" w:lineRule="auto"/>
        <w:ind w:left="993"/>
        <w:rPr>
          <w:rFonts w:ascii="Arial" w:hAnsi="Arial" w:cs="Arial"/>
          <w:sz w:val="24"/>
        </w:rPr>
      </w:pPr>
      <w:r w:rsidRPr="00962E0F">
        <w:rPr>
          <w:rFonts w:ascii="Arial" w:hAnsi="Arial" w:cs="Arial"/>
          <w:sz w:val="24"/>
        </w:rPr>
        <w:t xml:space="preserve">These development outlets/phases, cover five of the HCA’s 11 City Deal sites (accounting for 2 phases at Cottam Hall) and are on course to deliver 1,159 new homes. Of the remaining sites </w:t>
      </w:r>
      <w:proofErr w:type="spellStart"/>
      <w:r w:rsidRPr="00962E0F">
        <w:rPr>
          <w:rFonts w:ascii="Arial" w:hAnsi="Arial" w:cs="Arial"/>
          <w:sz w:val="24"/>
        </w:rPr>
        <w:t>Altcar</w:t>
      </w:r>
      <w:proofErr w:type="spellEnd"/>
      <w:r w:rsidRPr="00962E0F">
        <w:rPr>
          <w:rFonts w:ascii="Arial" w:hAnsi="Arial" w:cs="Arial"/>
          <w:sz w:val="24"/>
        </w:rPr>
        <w:t xml:space="preserve"> Lane will be delivered through Accelerated Construction, whilst the details of the marketing of Croston Road North are yet to be finalised. HCA are not directly in control of delivery at Cottam Brickworks or Walton Park Link Road and Preston East does not contain any residential.</w:t>
      </w:r>
    </w:p>
    <w:p w:rsidR="008C47ED" w:rsidRPr="00962E0F" w:rsidRDefault="008C47ED" w:rsidP="008C47ED">
      <w:pPr>
        <w:numPr>
          <w:ilvl w:val="0"/>
          <w:numId w:val="8"/>
        </w:numPr>
        <w:spacing w:after="0" w:line="240" w:lineRule="auto"/>
        <w:ind w:left="993"/>
        <w:rPr>
          <w:rFonts w:ascii="Arial" w:hAnsi="Arial" w:cs="Arial"/>
          <w:sz w:val="24"/>
        </w:rPr>
      </w:pPr>
      <w:r w:rsidRPr="00962E0F">
        <w:rPr>
          <w:rFonts w:ascii="Arial" w:hAnsi="Arial" w:cs="Arial"/>
          <w:sz w:val="24"/>
        </w:rPr>
        <w:t>There have been 21</w:t>
      </w:r>
      <w:r>
        <w:rPr>
          <w:rFonts w:ascii="Arial" w:hAnsi="Arial" w:cs="Arial"/>
          <w:sz w:val="24"/>
        </w:rPr>
        <w:t>9</w:t>
      </w:r>
      <w:r w:rsidRPr="00962E0F">
        <w:rPr>
          <w:rFonts w:ascii="Arial" w:hAnsi="Arial" w:cs="Arial"/>
          <w:sz w:val="24"/>
        </w:rPr>
        <w:t xml:space="preserve"> housing completions to the end of 2016/17.</w:t>
      </w:r>
    </w:p>
    <w:p w:rsidR="008C47ED" w:rsidRPr="00612620" w:rsidRDefault="008C47ED" w:rsidP="008C47ED">
      <w:pPr>
        <w:pStyle w:val="ListParagraph"/>
        <w:spacing w:after="0" w:line="240" w:lineRule="auto"/>
        <w:rPr>
          <w:rFonts w:ascii="Arial" w:hAnsi="Arial" w:cs="Arial"/>
          <w:b/>
          <w:bCs/>
          <w:sz w:val="24"/>
          <w:szCs w:val="24"/>
        </w:rPr>
      </w:pPr>
    </w:p>
    <w:p w:rsidR="008C47ED" w:rsidRDefault="008C47ED" w:rsidP="008C47ED">
      <w:pPr>
        <w:spacing w:after="0" w:line="240" w:lineRule="auto"/>
        <w:rPr>
          <w:rFonts w:ascii="Arial" w:hAnsi="Arial" w:cs="Arial"/>
          <w:b/>
          <w:sz w:val="24"/>
          <w:szCs w:val="24"/>
        </w:rPr>
      </w:pPr>
    </w:p>
    <w:p w:rsidR="008C47ED" w:rsidRPr="008C47ED" w:rsidRDefault="008C47ED" w:rsidP="008C47ED">
      <w:pPr>
        <w:spacing w:after="0" w:line="240" w:lineRule="auto"/>
        <w:rPr>
          <w:rFonts w:ascii="Arial" w:hAnsi="Arial" w:cs="Arial"/>
          <w:b/>
          <w:sz w:val="24"/>
          <w:szCs w:val="24"/>
        </w:rPr>
      </w:pPr>
      <w:r w:rsidRPr="008C47ED">
        <w:rPr>
          <w:rFonts w:ascii="Arial" w:hAnsi="Arial" w:cs="Arial"/>
          <w:b/>
          <w:sz w:val="24"/>
          <w:szCs w:val="24"/>
        </w:rPr>
        <w:t xml:space="preserve">Investment </w:t>
      </w:r>
    </w:p>
    <w:p w:rsidR="008C47ED" w:rsidRDefault="008C47ED" w:rsidP="008C47ED">
      <w:pPr>
        <w:spacing w:after="0" w:line="240" w:lineRule="auto"/>
        <w:rPr>
          <w:rFonts w:ascii="Arial" w:hAnsi="Arial" w:cs="Arial"/>
          <w:sz w:val="24"/>
          <w:szCs w:val="24"/>
        </w:rPr>
      </w:pPr>
    </w:p>
    <w:p w:rsidR="008C47ED" w:rsidRPr="00641ADF" w:rsidRDefault="008C47ED" w:rsidP="008C47ED">
      <w:pPr>
        <w:spacing w:after="0" w:line="240" w:lineRule="auto"/>
        <w:rPr>
          <w:rFonts w:ascii="Arial" w:hAnsi="Arial" w:cs="Arial"/>
          <w:b/>
          <w:sz w:val="24"/>
          <w:szCs w:val="24"/>
        </w:rPr>
      </w:pPr>
      <w:r w:rsidRPr="00641ADF">
        <w:rPr>
          <w:rFonts w:ascii="Arial" w:hAnsi="Arial" w:cs="Arial"/>
          <w:sz w:val="24"/>
          <w:szCs w:val="24"/>
        </w:rPr>
        <w:t xml:space="preserve">Due to the strong delivery in 2016/17 HCA funding is being invested into the City Deal as shown below. </w:t>
      </w:r>
    </w:p>
    <w:p w:rsidR="008C47ED" w:rsidRPr="00641ADF" w:rsidRDefault="008C47ED" w:rsidP="008C47ED">
      <w:pPr>
        <w:spacing w:after="0" w:line="240" w:lineRule="auto"/>
        <w:ind w:left="547"/>
        <w:rPr>
          <w:rFonts w:ascii="Arial" w:hAnsi="Arial" w:cs="Arial"/>
          <w:b/>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1997"/>
        <w:gridCol w:w="1843"/>
        <w:gridCol w:w="1842"/>
        <w:gridCol w:w="1843"/>
      </w:tblGrid>
      <w:tr w:rsidR="008C47ED" w:rsidRPr="00641ADF" w:rsidTr="008C47ED">
        <w:trPr>
          <w:trHeight w:val="397"/>
        </w:trPr>
        <w:tc>
          <w:tcPr>
            <w:tcW w:w="1689" w:type="dxa"/>
            <w:shd w:val="clear" w:color="auto" w:fill="1F497D"/>
          </w:tcPr>
          <w:p w:rsidR="008C47ED" w:rsidRPr="008C47ED" w:rsidRDefault="008C47ED" w:rsidP="008C47ED">
            <w:pPr>
              <w:pStyle w:val="ListParagraph"/>
              <w:autoSpaceDE w:val="0"/>
              <w:autoSpaceDN w:val="0"/>
              <w:adjustRightInd w:val="0"/>
              <w:spacing w:after="0" w:line="240" w:lineRule="auto"/>
              <w:ind w:left="0"/>
              <w:jc w:val="both"/>
              <w:rPr>
                <w:rFonts w:ascii="Arial" w:hAnsi="Arial" w:cs="Arial"/>
                <w:b/>
                <w:color w:val="FFFFFF"/>
                <w:sz w:val="24"/>
                <w:szCs w:val="24"/>
              </w:rPr>
            </w:pPr>
          </w:p>
        </w:tc>
        <w:tc>
          <w:tcPr>
            <w:tcW w:w="1997" w:type="dxa"/>
            <w:shd w:val="clear" w:color="auto" w:fill="1F497D"/>
          </w:tcPr>
          <w:p w:rsidR="008C47ED" w:rsidRPr="008C47ED" w:rsidRDefault="008C47ED" w:rsidP="008C47ED">
            <w:pPr>
              <w:pStyle w:val="ListParagraph"/>
              <w:autoSpaceDE w:val="0"/>
              <w:autoSpaceDN w:val="0"/>
              <w:adjustRightInd w:val="0"/>
              <w:spacing w:after="0" w:line="240" w:lineRule="auto"/>
              <w:ind w:left="0"/>
              <w:jc w:val="both"/>
              <w:rPr>
                <w:rFonts w:ascii="Arial" w:hAnsi="Arial" w:cs="Arial"/>
                <w:b/>
                <w:color w:val="FFFFFF"/>
                <w:sz w:val="24"/>
                <w:szCs w:val="24"/>
              </w:rPr>
            </w:pPr>
            <w:r w:rsidRPr="008C47ED">
              <w:rPr>
                <w:rFonts w:ascii="Arial" w:hAnsi="Arial" w:cs="Arial"/>
                <w:b/>
                <w:color w:val="FFFFFF"/>
                <w:sz w:val="24"/>
                <w:szCs w:val="24"/>
              </w:rPr>
              <w:t>Receipt</w:t>
            </w:r>
          </w:p>
        </w:tc>
        <w:tc>
          <w:tcPr>
            <w:tcW w:w="1843" w:type="dxa"/>
            <w:shd w:val="clear" w:color="auto" w:fill="1F497D"/>
          </w:tcPr>
          <w:p w:rsidR="008C47ED" w:rsidRPr="008C47ED" w:rsidRDefault="008C47ED" w:rsidP="008C47ED">
            <w:pPr>
              <w:pStyle w:val="ListParagraph"/>
              <w:autoSpaceDE w:val="0"/>
              <w:autoSpaceDN w:val="0"/>
              <w:adjustRightInd w:val="0"/>
              <w:spacing w:after="0" w:line="240" w:lineRule="auto"/>
              <w:ind w:left="0"/>
              <w:jc w:val="both"/>
              <w:rPr>
                <w:rFonts w:ascii="Arial" w:hAnsi="Arial" w:cs="Arial"/>
                <w:b/>
                <w:color w:val="FFFFFF"/>
                <w:sz w:val="24"/>
                <w:szCs w:val="24"/>
              </w:rPr>
            </w:pPr>
            <w:r w:rsidRPr="008C47ED">
              <w:rPr>
                <w:rFonts w:ascii="Arial" w:hAnsi="Arial" w:cs="Arial"/>
                <w:b/>
                <w:color w:val="FFFFFF"/>
                <w:sz w:val="24"/>
                <w:szCs w:val="24"/>
              </w:rPr>
              <w:t>Loan (£)</w:t>
            </w:r>
          </w:p>
        </w:tc>
        <w:tc>
          <w:tcPr>
            <w:tcW w:w="1842" w:type="dxa"/>
            <w:shd w:val="clear" w:color="auto" w:fill="1F497D"/>
          </w:tcPr>
          <w:p w:rsidR="008C47ED" w:rsidRPr="008C47ED" w:rsidRDefault="008C47ED" w:rsidP="008C47ED">
            <w:pPr>
              <w:pStyle w:val="ListParagraph"/>
              <w:autoSpaceDE w:val="0"/>
              <w:autoSpaceDN w:val="0"/>
              <w:adjustRightInd w:val="0"/>
              <w:spacing w:after="0" w:line="240" w:lineRule="auto"/>
              <w:ind w:left="0"/>
              <w:jc w:val="both"/>
              <w:rPr>
                <w:rFonts w:ascii="Arial" w:hAnsi="Arial" w:cs="Arial"/>
                <w:b/>
                <w:color w:val="FFFFFF"/>
                <w:sz w:val="24"/>
                <w:szCs w:val="24"/>
              </w:rPr>
            </w:pPr>
            <w:r w:rsidRPr="008C47ED">
              <w:rPr>
                <w:rFonts w:ascii="Arial" w:hAnsi="Arial" w:cs="Arial"/>
                <w:b/>
                <w:color w:val="FFFFFF"/>
                <w:sz w:val="24"/>
                <w:szCs w:val="24"/>
              </w:rPr>
              <w:t>Grant (£)</w:t>
            </w:r>
          </w:p>
        </w:tc>
        <w:tc>
          <w:tcPr>
            <w:tcW w:w="1843" w:type="dxa"/>
            <w:shd w:val="clear" w:color="auto" w:fill="1F497D"/>
          </w:tcPr>
          <w:p w:rsidR="008C47ED" w:rsidRPr="008C47ED" w:rsidRDefault="008C47ED" w:rsidP="008C47ED">
            <w:pPr>
              <w:pStyle w:val="ListParagraph"/>
              <w:autoSpaceDE w:val="0"/>
              <w:autoSpaceDN w:val="0"/>
              <w:adjustRightInd w:val="0"/>
              <w:spacing w:after="0" w:line="240" w:lineRule="auto"/>
              <w:ind w:left="0"/>
              <w:jc w:val="both"/>
              <w:rPr>
                <w:rFonts w:ascii="Arial" w:hAnsi="Arial" w:cs="Arial"/>
                <w:b/>
                <w:color w:val="FFFFFF"/>
                <w:sz w:val="24"/>
                <w:szCs w:val="24"/>
              </w:rPr>
            </w:pPr>
            <w:r w:rsidRPr="008C47ED">
              <w:rPr>
                <w:rFonts w:ascii="Arial" w:hAnsi="Arial" w:cs="Arial"/>
                <w:b/>
                <w:color w:val="FFFFFF"/>
                <w:sz w:val="24"/>
                <w:szCs w:val="24"/>
              </w:rPr>
              <w:t xml:space="preserve">Total Payment (£) </w:t>
            </w:r>
          </w:p>
        </w:tc>
      </w:tr>
      <w:tr w:rsidR="008C47ED" w:rsidRPr="00641ADF" w:rsidTr="008C47ED">
        <w:trPr>
          <w:trHeight w:val="397"/>
        </w:trPr>
        <w:tc>
          <w:tcPr>
            <w:tcW w:w="1689" w:type="dxa"/>
            <w:shd w:val="clear" w:color="auto" w:fill="C6D9F1"/>
            <w:vAlign w:val="center"/>
          </w:tcPr>
          <w:p w:rsidR="008C47ED" w:rsidRPr="008C47ED" w:rsidRDefault="008C47ED" w:rsidP="008C47ED">
            <w:pPr>
              <w:pStyle w:val="ListParagraph"/>
              <w:autoSpaceDE w:val="0"/>
              <w:autoSpaceDN w:val="0"/>
              <w:adjustRightInd w:val="0"/>
              <w:spacing w:after="0" w:line="240" w:lineRule="auto"/>
              <w:ind w:left="0"/>
              <w:jc w:val="center"/>
              <w:rPr>
                <w:rFonts w:ascii="Arial" w:hAnsi="Arial" w:cs="Arial"/>
                <w:b/>
                <w:sz w:val="24"/>
                <w:szCs w:val="24"/>
              </w:rPr>
            </w:pPr>
            <w:r w:rsidRPr="008C47ED">
              <w:rPr>
                <w:rFonts w:ascii="Arial" w:hAnsi="Arial" w:cs="Arial"/>
                <w:b/>
                <w:sz w:val="24"/>
                <w:szCs w:val="24"/>
              </w:rPr>
              <w:t>2016/17</w:t>
            </w:r>
          </w:p>
        </w:tc>
        <w:tc>
          <w:tcPr>
            <w:tcW w:w="1997" w:type="dxa"/>
            <w:shd w:val="clear" w:color="auto" w:fill="auto"/>
            <w:vAlign w:val="center"/>
          </w:tcPr>
          <w:p w:rsidR="008C47ED" w:rsidRPr="008C47ED" w:rsidRDefault="008C47ED" w:rsidP="008C47ED">
            <w:pPr>
              <w:spacing w:after="0" w:line="240" w:lineRule="auto"/>
              <w:rPr>
                <w:rFonts w:ascii="Arial" w:hAnsi="Arial" w:cs="Arial"/>
                <w:b/>
                <w:sz w:val="24"/>
                <w:szCs w:val="24"/>
              </w:rPr>
            </w:pPr>
            <w:r>
              <w:rPr>
                <w:rFonts w:ascii="Arial" w:hAnsi="Arial" w:cs="Arial"/>
                <w:b/>
                <w:sz w:val="24"/>
                <w:szCs w:val="24"/>
              </w:rPr>
              <w:t>£</w:t>
            </w:r>
            <w:r w:rsidRPr="008C47ED">
              <w:rPr>
                <w:rFonts w:ascii="Arial" w:hAnsi="Arial" w:cs="Arial"/>
                <w:b/>
                <w:sz w:val="24"/>
                <w:szCs w:val="24"/>
              </w:rPr>
              <w:t>9,599,105</w:t>
            </w:r>
          </w:p>
        </w:tc>
        <w:tc>
          <w:tcPr>
            <w:tcW w:w="1843" w:type="dxa"/>
            <w:shd w:val="clear" w:color="auto" w:fill="auto"/>
            <w:vAlign w:val="center"/>
          </w:tcPr>
          <w:p w:rsidR="008C47ED" w:rsidRPr="008C47ED" w:rsidRDefault="008C47ED" w:rsidP="008C47ED">
            <w:pPr>
              <w:spacing w:after="0" w:line="240" w:lineRule="auto"/>
              <w:rPr>
                <w:rFonts w:ascii="Arial" w:hAnsi="Arial" w:cs="Arial"/>
                <w:b/>
                <w:sz w:val="24"/>
                <w:szCs w:val="24"/>
              </w:rPr>
            </w:pPr>
            <w:r>
              <w:rPr>
                <w:rFonts w:ascii="Arial" w:hAnsi="Arial" w:cs="Arial"/>
                <w:b/>
                <w:sz w:val="24"/>
                <w:szCs w:val="24"/>
              </w:rPr>
              <w:t>£</w:t>
            </w:r>
            <w:r w:rsidRPr="008C47ED">
              <w:rPr>
                <w:rFonts w:ascii="Arial" w:hAnsi="Arial" w:cs="Arial"/>
                <w:b/>
                <w:sz w:val="24"/>
                <w:szCs w:val="24"/>
              </w:rPr>
              <w:t>1,947,682</w:t>
            </w:r>
          </w:p>
        </w:tc>
        <w:tc>
          <w:tcPr>
            <w:tcW w:w="1842" w:type="dxa"/>
            <w:shd w:val="clear" w:color="auto" w:fill="auto"/>
            <w:vAlign w:val="center"/>
          </w:tcPr>
          <w:p w:rsidR="008C47ED" w:rsidRPr="008C47ED" w:rsidRDefault="008C47ED" w:rsidP="008C47ED">
            <w:pPr>
              <w:pStyle w:val="ListParagraph"/>
              <w:autoSpaceDE w:val="0"/>
              <w:autoSpaceDN w:val="0"/>
              <w:adjustRightInd w:val="0"/>
              <w:spacing w:after="0" w:line="240" w:lineRule="auto"/>
              <w:ind w:left="0"/>
              <w:rPr>
                <w:rFonts w:ascii="Arial" w:hAnsi="Arial" w:cs="Arial"/>
                <w:b/>
                <w:sz w:val="24"/>
                <w:szCs w:val="24"/>
              </w:rPr>
            </w:pPr>
            <w:r w:rsidRPr="008C47ED">
              <w:rPr>
                <w:rFonts w:ascii="Arial" w:hAnsi="Arial" w:cs="Arial"/>
                <w:b/>
                <w:sz w:val="24"/>
                <w:szCs w:val="24"/>
              </w:rPr>
              <w:t>£4,623,920</w:t>
            </w:r>
          </w:p>
        </w:tc>
        <w:tc>
          <w:tcPr>
            <w:tcW w:w="1843" w:type="dxa"/>
            <w:shd w:val="clear" w:color="auto" w:fill="C6D9F1"/>
            <w:vAlign w:val="center"/>
          </w:tcPr>
          <w:p w:rsidR="008C47ED" w:rsidRPr="008C47ED" w:rsidRDefault="008C47ED" w:rsidP="008C47ED">
            <w:pPr>
              <w:pStyle w:val="ListParagraph"/>
              <w:autoSpaceDE w:val="0"/>
              <w:autoSpaceDN w:val="0"/>
              <w:adjustRightInd w:val="0"/>
              <w:spacing w:after="0" w:line="240" w:lineRule="auto"/>
              <w:ind w:left="0"/>
              <w:rPr>
                <w:rFonts w:ascii="Arial" w:hAnsi="Arial" w:cs="Arial"/>
                <w:b/>
                <w:sz w:val="24"/>
                <w:szCs w:val="24"/>
              </w:rPr>
            </w:pPr>
            <w:r>
              <w:rPr>
                <w:rFonts w:ascii="Arial" w:hAnsi="Arial" w:cs="Arial"/>
                <w:b/>
                <w:sz w:val="24"/>
                <w:szCs w:val="24"/>
              </w:rPr>
              <w:t>£</w:t>
            </w:r>
            <w:r w:rsidRPr="008C47ED">
              <w:rPr>
                <w:rFonts w:ascii="Arial" w:hAnsi="Arial" w:cs="Arial"/>
                <w:b/>
                <w:sz w:val="24"/>
                <w:szCs w:val="24"/>
              </w:rPr>
              <w:t>6,571,602</w:t>
            </w:r>
          </w:p>
        </w:tc>
      </w:tr>
      <w:tr w:rsidR="008C47ED" w:rsidRPr="00641ADF" w:rsidTr="008C47ED">
        <w:trPr>
          <w:trHeight w:val="397"/>
        </w:trPr>
        <w:tc>
          <w:tcPr>
            <w:tcW w:w="1689" w:type="dxa"/>
            <w:shd w:val="clear" w:color="auto" w:fill="C6D9F1"/>
            <w:vAlign w:val="center"/>
          </w:tcPr>
          <w:p w:rsidR="008C47ED" w:rsidRPr="008C47ED" w:rsidRDefault="008C47ED" w:rsidP="008C47ED">
            <w:pPr>
              <w:pStyle w:val="ListParagraph"/>
              <w:autoSpaceDE w:val="0"/>
              <w:autoSpaceDN w:val="0"/>
              <w:adjustRightInd w:val="0"/>
              <w:spacing w:after="0" w:line="240" w:lineRule="auto"/>
              <w:ind w:left="0"/>
              <w:jc w:val="center"/>
              <w:rPr>
                <w:rFonts w:ascii="Arial" w:hAnsi="Arial" w:cs="Arial"/>
                <w:b/>
                <w:sz w:val="24"/>
                <w:szCs w:val="24"/>
              </w:rPr>
            </w:pPr>
            <w:r w:rsidRPr="008C47ED">
              <w:rPr>
                <w:rFonts w:ascii="Arial" w:hAnsi="Arial" w:cs="Arial"/>
                <w:b/>
                <w:sz w:val="24"/>
                <w:szCs w:val="24"/>
              </w:rPr>
              <w:t>Cumulative to 31.3.17</w:t>
            </w:r>
          </w:p>
        </w:tc>
        <w:tc>
          <w:tcPr>
            <w:tcW w:w="1997" w:type="dxa"/>
            <w:shd w:val="clear" w:color="auto" w:fill="auto"/>
            <w:vAlign w:val="center"/>
          </w:tcPr>
          <w:p w:rsidR="008C47ED" w:rsidRPr="008C47ED" w:rsidRDefault="008C47ED" w:rsidP="008C47ED">
            <w:pPr>
              <w:pStyle w:val="ListParagraph"/>
              <w:autoSpaceDE w:val="0"/>
              <w:autoSpaceDN w:val="0"/>
              <w:adjustRightInd w:val="0"/>
              <w:spacing w:after="0" w:line="240" w:lineRule="auto"/>
              <w:ind w:left="0"/>
              <w:rPr>
                <w:rFonts w:ascii="Arial" w:hAnsi="Arial" w:cs="Arial"/>
                <w:b/>
                <w:sz w:val="24"/>
                <w:szCs w:val="24"/>
              </w:rPr>
            </w:pPr>
            <w:bookmarkStart w:id="0" w:name="_GoBack"/>
            <w:bookmarkEnd w:id="0"/>
            <w:r>
              <w:rPr>
                <w:rFonts w:ascii="Arial" w:hAnsi="Arial" w:cs="Arial"/>
                <w:b/>
                <w:sz w:val="24"/>
                <w:szCs w:val="24"/>
              </w:rPr>
              <w:t>£</w:t>
            </w:r>
            <w:r w:rsidRPr="008C47ED">
              <w:rPr>
                <w:rFonts w:ascii="Arial" w:hAnsi="Arial" w:cs="Arial"/>
                <w:b/>
                <w:sz w:val="24"/>
                <w:szCs w:val="24"/>
              </w:rPr>
              <w:t>16,064,900</w:t>
            </w:r>
          </w:p>
        </w:tc>
        <w:tc>
          <w:tcPr>
            <w:tcW w:w="1843" w:type="dxa"/>
            <w:shd w:val="clear" w:color="auto" w:fill="auto"/>
            <w:vAlign w:val="center"/>
          </w:tcPr>
          <w:p w:rsidR="008C47ED" w:rsidRPr="008C47ED" w:rsidRDefault="008C47ED" w:rsidP="008C47ED">
            <w:pPr>
              <w:pStyle w:val="ListParagraph"/>
              <w:autoSpaceDE w:val="0"/>
              <w:autoSpaceDN w:val="0"/>
              <w:adjustRightInd w:val="0"/>
              <w:spacing w:after="0" w:line="240" w:lineRule="auto"/>
              <w:ind w:left="0"/>
              <w:rPr>
                <w:rFonts w:ascii="Arial" w:hAnsi="Arial" w:cs="Arial"/>
                <w:b/>
                <w:sz w:val="24"/>
                <w:szCs w:val="24"/>
              </w:rPr>
            </w:pPr>
            <w:r>
              <w:rPr>
                <w:rFonts w:ascii="Arial" w:hAnsi="Arial" w:cs="Arial"/>
                <w:b/>
                <w:sz w:val="24"/>
                <w:szCs w:val="24"/>
              </w:rPr>
              <w:t>£</w:t>
            </w:r>
            <w:r w:rsidRPr="008C47ED">
              <w:rPr>
                <w:rFonts w:ascii="Arial" w:hAnsi="Arial" w:cs="Arial"/>
                <w:b/>
                <w:sz w:val="24"/>
                <w:szCs w:val="24"/>
              </w:rPr>
              <w:t>14,355,023</w:t>
            </w:r>
          </w:p>
        </w:tc>
        <w:tc>
          <w:tcPr>
            <w:tcW w:w="1842" w:type="dxa"/>
            <w:shd w:val="clear" w:color="auto" w:fill="auto"/>
            <w:vAlign w:val="center"/>
          </w:tcPr>
          <w:p w:rsidR="008C47ED" w:rsidRPr="008C47ED" w:rsidRDefault="008C47ED" w:rsidP="008C47ED">
            <w:pPr>
              <w:pStyle w:val="ListParagraph"/>
              <w:autoSpaceDE w:val="0"/>
              <w:autoSpaceDN w:val="0"/>
              <w:adjustRightInd w:val="0"/>
              <w:spacing w:after="0" w:line="240" w:lineRule="auto"/>
              <w:ind w:left="0"/>
              <w:rPr>
                <w:rFonts w:ascii="Arial" w:hAnsi="Arial" w:cs="Arial"/>
                <w:b/>
                <w:sz w:val="24"/>
                <w:szCs w:val="24"/>
              </w:rPr>
            </w:pPr>
            <w:r w:rsidRPr="008C47ED">
              <w:rPr>
                <w:rFonts w:ascii="Arial" w:hAnsi="Arial" w:cs="Arial"/>
                <w:b/>
                <w:sz w:val="24"/>
                <w:szCs w:val="24"/>
              </w:rPr>
              <w:t>£4,623,920</w:t>
            </w:r>
          </w:p>
        </w:tc>
        <w:tc>
          <w:tcPr>
            <w:tcW w:w="1843" w:type="dxa"/>
            <w:shd w:val="clear" w:color="auto" w:fill="C6D9F1"/>
            <w:vAlign w:val="center"/>
          </w:tcPr>
          <w:p w:rsidR="008C47ED" w:rsidRPr="008C47ED" w:rsidRDefault="008C47ED" w:rsidP="008C47ED">
            <w:pPr>
              <w:pStyle w:val="ListParagraph"/>
              <w:autoSpaceDE w:val="0"/>
              <w:autoSpaceDN w:val="0"/>
              <w:adjustRightInd w:val="0"/>
              <w:spacing w:after="0" w:line="240" w:lineRule="auto"/>
              <w:ind w:left="0"/>
              <w:rPr>
                <w:rFonts w:ascii="Arial" w:hAnsi="Arial" w:cs="Arial"/>
                <w:b/>
                <w:sz w:val="24"/>
                <w:szCs w:val="24"/>
              </w:rPr>
            </w:pPr>
            <w:r>
              <w:rPr>
                <w:rFonts w:ascii="Arial" w:hAnsi="Arial" w:cs="Arial"/>
                <w:b/>
                <w:sz w:val="24"/>
                <w:szCs w:val="24"/>
              </w:rPr>
              <w:t>£</w:t>
            </w:r>
            <w:r w:rsidRPr="008C47ED">
              <w:rPr>
                <w:rFonts w:ascii="Arial" w:hAnsi="Arial" w:cs="Arial"/>
                <w:b/>
                <w:sz w:val="24"/>
                <w:szCs w:val="24"/>
              </w:rPr>
              <w:t>18,978,943</w:t>
            </w:r>
          </w:p>
        </w:tc>
      </w:tr>
    </w:tbl>
    <w:p w:rsidR="008C47ED" w:rsidRPr="00641ADF" w:rsidRDefault="008C47ED" w:rsidP="008C47ED">
      <w:pPr>
        <w:spacing w:after="0" w:line="240" w:lineRule="auto"/>
        <w:ind w:left="547"/>
        <w:rPr>
          <w:rFonts w:ascii="Arial" w:hAnsi="Arial" w:cs="Arial"/>
          <w:sz w:val="24"/>
          <w:szCs w:val="24"/>
        </w:rPr>
      </w:pPr>
    </w:p>
    <w:p w:rsidR="008C47ED" w:rsidRPr="008C47ED" w:rsidRDefault="008C47ED" w:rsidP="008C47ED">
      <w:pPr>
        <w:spacing w:after="0" w:line="240" w:lineRule="auto"/>
        <w:rPr>
          <w:rFonts w:ascii="Arial" w:hAnsi="Arial" w:cs="Arial"/>
          <w:b/>
          <w:sz w:val="24"/>
          <w:szCs w:val="24"/>
        </w:rPr>
      </w:pPr>
      <w:r w:rsidRPr="008C47ED">
        <w:rPr>
          <w:rFonts w:ascii="Arial" w:hAnsi="Arial" w:cs="Arial"/>
          <w:sz w:val="24"/>
          <w:szCs w:val="24"/>
        </w:rPr>
        <w:t>The first grant payment was made in June 2016 and a total of £4.6m was paid in grant in 2016/17. Future payments to be made over the next three years are shown below and the full forecast for the Deal is detailed within the BDP in Appendix A.</w:t>
      </w:r>
    </w:p>
    <w:p w:rsidR="008C47ED" w:rsidRPr="00641ADF" w:rsidRDefault="008C47ED" w:rsidP="008C47ED">
      <w:pPr>
        <w:pStyle w:val="ListParagraph"/>
        <w:spacing w:after="0" w:line="240" w:lineRule="auto"/>
        <w:ind w:left="709"/>
        <w:rPr>
          <w:rFonts w:ascii="Arial" w:hAnsi="Arial" w:cs="Arial"/>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77"/>
        <w:gridCol w:w="2357"/>
        <w:gridCol w:w="2410"/>
      </w:tblGrid>
      <w:tr w:rsidR="008C47ED" w:rsidRPr="00A21BBC" w:rsidTr="008C47ED">
        <w:trPr>
          <w:trHeight w:val="397"/>
        </w:trPr>
        <w:tc>
          <w:tcPr>
            <w:tcW w:w="2087" w:type="dxa"/>
            <w:shd w:val="clear" w:color="auto" w:fill="1F497D"/>
          </w:tcPr>
          <w:p w:rsidR="008C47ED" w:rsidRPr="008C47ED" w:rsidRDefault="008C47ED" w:rsidP="008C47ED">
            <w:pPr>
              <w:pStyle w:val="ListParagraph"/>
              <w:autoSpaceDE w:val="0"/>
              <w:autoSpaceDN w:val="0"/>
              <w:adjustRightInd w:val="0"/>
              <w:spacing w:after="0" w:line="240" w:lineRule="auto"/>
              <w:ind w:left="0"/>
              <w:jc w:val="both"/>
              <w:rPr>
                <w:rFonts w:ascii="Arial" w:hAnsi="Arial" w:cs="Arial"/>
                <w:b/>
                <w:color w:val="FFFFFF"/>
                <w:sz w:val="24"/>
                <w:szCs w:val="24"/>
              </w:rPr>
            </w:pPr>
          </w:p>
        </w:tc>
        <w:tc>
          <w:tcPr>
            <w:tcW w:w="2077" w:type="dxa"/>
            <w:shd w:val="clear" w:color="auto" w:fill="1F497D"/>
          </w:tcPr>
          <w:p w:rsidR="008C47ED" w:rsidRPr="008C47ED" w:rsidRDefault="008C47ED" w:rsidP="008C47ED">
            <w:pPr>
              <w:pStyle w:val="ListParagraph"/>
              <w:autoSpaceDE w:val="0"/>
              <w:autoSpaceDN w:val="0"/>
              <w:adjustRightInd w:val="0"/>
              <w:spacing w:after="0" w:line="240" w:lineRule="auto"/>
              <w:ind w:left="0"/>
              <w:jc w:val="both"/>
              <w:rPr>
                <w:rFonts w:ascii="Arial" w:hAnsi="Arial" w:cs="Arial"/>
                <w:b/>
                <w:color w:val="FFFFFF"/>
                <w:sz w:val="24"/>
                <w:szCs w:val="24"/>
              </w:rPr>
            </w:pPr>
            <w:r w:rsidRPr="008C47ED">
              <w:rPr>
                <w:rFonts w:ascii="Arial" w:hAnsi="Arial" w:cs="Arial"/>
                <w:b/>
                <w:color w:val="FFFFFF"/>
                <w:sz w:val="24"/>
                <w:szCs w:val="24"/>
              </w:rPr>
              <w:t>2017/18</w:t>
            </w:r>
          </w:p>
        </w:tc>
        <w:tc>
          <w:tcPr>
            <w:tcW w:w="2357" w:type="dxa"/>
            <w:shd w:val="clear" w:color="auto" w:fill="1F497D"/>
          </w:tcPr>
          <w:p w:rsidR="008C47ED" w:rsidRPr="008C47ED" w:rsidRDefault="008C47ED" w:rsidP="008C47ED">
            <w:pPr>
              <w:pStyle w:val="ListParagraph"/>
              <w:autoSpaceDE w:val="0"/>
              <w:autoSpaceDN w:val="0"/>
              <w:adjustRightInd w:val="0"/>
              <w:spacing w:after="0" w:line="240" w:lineRule="auto"/>
              <w:ind w:left="0"/>
              <w:jc w:val="both"/>
              <w:rPr>
                <w:rFonts w:ascii="Arial" w:hAnsi="Arial" w:cs="Arial"/>
                <w:b/>
                <w:color w:val="FFFFFF"/>
                <w:sz w:val="24"/>
                <w:szCs w:val="24"/>
              </w:rPr>
            </w:pPr>
            <w:r w:rsidRPr="008C47ED">
              <w:rPr>
                <w:rFonts w:ascii="Arial" w:hAnsi="Arial" w:cs="Arial"/>
                <w:b/>
                <w:color w:val="FFFFFF"/>
                <w:sz w:val="24"/>
                <w:szCs w:val="24"/>
              </w:rPr>
              <w:t>2018/19</w:t>
            </w:r>
          </w:p>
        </w:tc>
        <w:tc>
          <w:tcPr>
            <w:tcW w:w="2410" w:type="dxa"/>
            <w:shd w:val="clear" w:color="auto" w:fill="1F497D"/>
          </w:tcPr>
          <w:p w:rsidR="008C47ED" w:rsidRPr="008C47ED" w:rsidRDefault="008C47ED" w:rsidP="008C47ED">
            <w:pPr>
              <w:pStyle w:val="ListParagraph"/>
              <w:autoSpaceDE w:val="0"/>
              <w:autoSpaceDN w:val="0"/>
              <w:adjustRightInd w:val="0"/>
              <w:spacing w:after="0" w:line="240" w:lineRule="auto"/>
              <w:ind w:left="0"/>
              <w:jc w:val="both"/>
              <w:rPr>
                <w:rFonts w:ascii="Arial" w:hAnsi="Arial" w:cs="Arial"/>
                <w:b/>
                <w:color w:val="FFFFFF"/>
                <w:sz w:val="24"/>
                <w:szCs w:val="24"/>
              </w:rPr>
            </w:pPr>
            <w:r w:rsidRPr="008C47ED">
              <w:rPr>
                <w:rFonts w:ascii="Arial" w:hAnsi="Arial" w:cs="Arial"/>
                <w:b/>
                <w:color w:val="FFFFFF"/>
                <w:sz w:val="24"/>
                <w:szCs w:val="24"/>
              </w:rPr>
              <w:t>2019/20</w:t>
            </w:r>
          </w:p>
        </w:tc>
      </w:tr>
      <w:tr w:rsidR="008C47ED" w:rsidRPr="00A21BBC" w:rsidTr="008C47ED">
        <w:trPr>
          <w:trHeight w:val="397"/>
        </w:trPr>
        <w:tc>
          <w:tcPr>
            <w:tcW w:w="2087" w:type="dxa"/>
            <w:shd w:val="clear" w:color="auto" w:fill="D9D9D9"/>
            <w:vAlign w:val="center"/>
          </w:tcPr>
          <w:p w:rsidR="008C47ED" w:rsidRPr="008C47ED" w:rsidRDefault="008C47ED" w:rsidP="008C47ED">
            <w:pPr>
              <w:pStyle w:val="ListParagraph"/>
              <w:autoSpaceDE w:val="0"/>
              <w:autoSpaceDN w:val="0"/>
              <w:adjustRightInd w:val="0"/>
              <w:spacing w:after="0" w:line="240" w:lineRule="auto"/>
              <w:ind w:left="0"/>
              <w:rPr>
                <w:rFonts w:ascii="Arial" w:hAnsi="Arial" w:cs="Arial"/>
                <w:b/>
                <w:sz w:val="24"/>
                <w:szCs w:val="24"/>
              </w:rPr>
            </w:pPr>
            <w:r w:rsidRPr="008C47ED">
              <w:rPr>
                <w:rFonts w:ascii="Arial" w:hAnsi="Arial" w:cs="Arial"/>
                <w:b/>
                <w:sz w:val="24"/>
                <w:szCs w:val="24"/>
              </w:rPr>
              <w:t>Cash Receipts</w:t>
            </w:r>
          </w:p>
        </w:tc>
        <w:tc>
          <w:tcPr>
            <w:tcW w:w="2077" w:type="dxa"/>
            <w:shd w:val="clear" w:color="auto" w:fill="D9D9D9"/>
            <w:vAlign w:val="center"/>
          </w:tcPr>
          <w:p w:rsidR="008C47ED" w:rsidRPr="008C47ED" w:rsidRDefault="008C47ED" w:rsidP="008C47ED">
            <w:pPr>
              <w:spacing w:after="0" w:line="240" w:lineRule="auto"/>
              <w:rPr>
                <w:rFonts w:ascii="Arial" w:hAnsi="Arial" w:cs="Arial"/>
                <w:b/>
                <w:bCs/>
                <w:sz w:val="24"/>
                <w:szCs w:val="24"/>
              </w:rPr>
            </w:pPr>
            <w:r>
              <w:rPr>
                <w:rFonts w:ascii="Arial" w:hAnsi="Arial" w:cs="Arial"/>
                <w:b/>
                <w:bCs/>
                <w:sz w:val="24"/>
                <w:szCs w:val="24"/>
              </w:rPr>
              <w:t>£</w:t>
            </w:r>
            <w:r w:rsidRPr="008C47ED">
              <w:rPr>
                <w:rFonts w:ascii="Arial" w:hAnsi="Arial" w:cs="Arial"/>
                <w:b/>
                <w:bCs/>
                <w:sz w:val="24"/>
                <w:szCs w:val="24"/>
              </w:rPr>
              <w:t xml:space="preserve">9,366,306 </w:t>
            </w:r>
          </w:p>
        </w:tc>
        <w:tc>
          <w:tcPr>
            <w:tcW w:w="2357" w:type="dxa"/>
            <w:shd w:val="clear" w:color="auto" w:fill="D9D9D9"/>
            <w:vAlign w:val="center"/>
          </w:tcPr>
          <w:p w:rsidR="008C47ED" w:rsidRPr="008C47ED" w:rsidRDefault="008C47ED" w:rsidP="008C47ED">
            <w:pPr>
              <w:spacing w:after="0" w:line="240" w:lineRule="auto"/>
              <w:rPr>
                <w:rFonts w:ascii="Arial" w:hAnsi="Arial" w:cs="Arial"/>
                <w:b/>
                <w:bCs/>
                <w:sz w:val="24"/>
                <w:szCs w:val="24"/>
              </w:rPr>
            </w:pPr>
            <w:r>
              <w:rPr>
                <w:rFonts w:ascii="Arial" w:hAnsi="Arial" w:cs="Arial"/>
                <w:b/>
                <w:bCs/>
                <w:sz w:val="24"/>
                <w:szCs w:val="24"/>
              </w:rPr>
              <w:t>£</w:t>
            </w:r>
            <w:r w:rsidRPr="008C47ED">
              <w:rPr>
                <w:rFonts w:ascii="Arial" w:hAnsi="Arial" w:cs="Arial"/>
                <w:b/>
                <w:bCs/>
                <w:sz w:val="24"/>
                <w:szCs w:val="24"/>
              </w:rPr>
              <w:t xml:space="preserve">7,094,243 </w:t>
            </w:r>
          </w:p>
        </w:tc>
        <w:tc>
          <w:tcPr>
            <w:tcW w:w="2410" w:type="dxa"/>
            <w:shd w:val="clear" w:color="auto" w:fill="D9D9D9"/>
            <w:vAlign w:val="center"/>
          </w:tcPr>
          <w:p w:rsidR="008C47ED" w:rsidRPr="008C47ED" w:rsidRDefault="008C47ED" w:rsidP="008C47ED">
            <w:pPr>
              <w:spacing w:after="0" w:line="240" w:lineRule="auto"/>
              <w:rPr>
                <w:rFonts w:ascii="Arial" w:hAnsi="Arial" w:cs="Arial"/>
                <w:b/>
                <w:bCs/>
                <w:sz w:val="24"/>
                <w:szCs w:val="24"/>
              </w:rPr>
            </w:pPr>
            <w:r>
              <w:rPr>
                <w:rFonts w:ascii="Arial" w:hAnsi="Arial" w:cs="Arial"/>
                <w:b/>
                <w:bCs/>
                <w:sz w:val="24"/>
                <w:szCs w:val="24"/>
              </w:rPr>
              <w:t>£</w:t>
            </w:r>
            <w:r w:rsidRPr="008C47ED">
              <w:rPr>
                <w:rFonts w:ascii="Arial" w:hAnsi="Arial" w:cs="Arial"/>
                <w:b/>
                <w:bCs/>
                <w:sz w:val="24"/>
                <w:szCs w:val="24"/>
              </w:rPr>
              <w:t xml:space="preserve">5,601,250 </w:t>
            </w:r>
          </w:p>
        </w:tc>
      </w:tr>
      <w:tr w:rsidR="008C47ED" w:rsidRPr="00A21BBC" w:rsidTr="008C47ED">
        <w:trPr>
          <w:trHeight w:val="397"/>
        </w:trPr>
        <w:tc>
          <w:tcPr>
            <w:tcW w:w="2087" w:type="dxa"/>
            <w:shd w:val="clear" w:color="auto" w:fill="C6D9F1"/>
            <w:vAlign w:val="center"/>
          </w:tcPr>
          <w:p w:rsidR="008C47ED" w:rsidRPr="008C47ED" w:rsidRDefault="008C47ED" w:rsidP="008C47ED">
            <w:pPr>
              <w:pStyle w:val="ListParagraph"/>
              <w:autoSpaceDE w:val="0"/>
              <w:autoSpaceDN w:val="0"/>
              <w:adjustRightInd w:val="0"/>
              <w:spacing w:after="0" w:line="240" w:lineRule="auto"/>
              <w:ind w:left="0"/>
              <w:rPr>
                <w:rFonts w:ascii="Arial" w:hAnsi="Arial" w:cs="Arial"/>
                <w:b/>
                <w:sz w:val="24"/>
                <w:szCs w:val="24"/>
              </w:rPr>
            </w:pPr>
            <w:r w:rsidRPr="008C47ED">
              <w:rPr>
                <w:rFonts w:ascii="Arial" w:hAnsi="Arial" w:cs="Arial"/>
                <w:b/>
                <w:sz w:val="24"/>
                <w:szCs w:val="24"/>
              </w:rPr>
              <w:t>Loan payments</w:t>
            </w:r>
          </w:p>
        </w:tc>
        <w:tc>
          <w:tcPr>
            <w:tcW w:w="2077" w:type="dxa"/>
            <w:shd w:val="clear" w:color="auto" w:fill="auto"/>
            <w:vAlign w:val="center"/>
          </w:tcPr>
          <w:p w:rsidR="008C47ED" w:rsidRPr="008C47ED" w:rsidRDefault="008C47ED" w:rsidP="008C47ED">
            <w:pPr>
              <w:spacing w:after="0" w:line="240" w:lineRule="auto"/>
              <w:rPr>
                <w:rFonts w:ascii="Arial" w:hAnsi="Arial" w:cs="Arial"/>
                <w:b/>
                <w:bCs/>
                <w:sz w:val="24"/>
                <w:szCs w:val="24"/>
              </w:rPr>
            </w:pPr>
            <w:r>
              <w:rPr>
                <w:rFonts w:ascii="Arial" w:hAnsi="Arial" w:cs="Arial"/>
                <w:b/>
                <w:bCs/>
                <w:sz w:val="24"/>
                <w:szCs w:val="24"/>
              </w:rPr>
              <w:t>£</w:t>
            </w:r>
            <w:r w:rsidRPr="008C47ED">
              <w:rPr>
                <w:rFonts w:ascii="Arial" w:hAnsi="Arial" w:cs="Arial"/>
                <w:b/>
                <w:bCs/>
                <w:sz w:val="24"/>
                <w:szCs w:val="24"/>
              </w:rPr>
              <w:t xml:space="preserve">3,187,708 </w:t>
            </w:r>
          </w:p>
        </w:tc>
        <w:tc>
          <w:tcPr>
            <w:tcW w:w="2357" w:type="dxa"/>
            <w:shd w:val="clear" w:color="auto" w:fill="auto"/>
            <w:vAlign w:val="center"/>
          </w:tcPr>
          <w:p w:rsidR="008C47ED" w:rsidRPr="008C47ED" w:rsidRDefault="008C47ED" w:rsidP="008C47ED">
            <w:pPr>
              <w:spacing w:after="0" w:line="240" w:lineRule="auto"/>
              <w:rPr>
                <w:rFonts w:ascii="Arial" w:hAnsi="Arial" w:cs="Arial"/>
                <w:b/>
                <w:bCs/>
                <w:sz w:val="24"/>
                <w:szCs w:val="24"/>
              </w:rPr>
            </w:pPr>
            <w:r>
              <w:rPr>
                <w:rFonts w:ascii="Arial" w:hAnsi="Arial" w:cs="Arial"/>
                <w:b/>
                <w:bCs/>
                <w:sz w:val="24"/>
                <w:szCs w:val="24"/>
              </w:rPr>
              <w:t>£</w:t>
            </w:r>
            <w:r w:rsidRPr="008C47ED">
              <w:rPr>
                <w:rFonts w:ascii="Arial" w:hAnsi="Arial" w:cs="Arial"/>
                <w:b/>
                <w:bCs/>
                <w:sz w:val="24"/>
                <w:szCs w:val="24"/>
              </w:rPr>
              <w:t xml:space="preserve">*          </w:t>
            </w:r>
          </w:p>
        </w:tc>
        <w:tc>
          <w:tcPr>
            <w:tcW w:w="2410" w:type="dxa"/>
            <w:shd w:val="clear" w:color="auto" w:fill="auto"/>
            <w:vAlign w:val="center"/>
          </w:tcPr>
          <w:p w:rsidR="008C47ED" w:rsidRPr="008C47ED" w:rsidRDefault="008C47ED" w:rsidP="008C47ED">
            <w:pPr>
              <w:spacing w:after="0" w:line="240" w:lineRule="auto"/>
              <w:rPr>
                <w:rFonts w:ascii="Arial" w:hAnsi="Arial" w:cs="Arial"/>
                <w:b/>
                <w:bCs/>
                <w:sz w:val="24"/>
                <w:szCs w:val="24"/>
              </w:rPr>
            </w:pPr>
            <w:r>
              <w:rPr>
                <w:rFonts w:ascii="Arial" w:hAnsi="Arial" w:cs="Arial"/>
                <w:b/>
                <w:bCs/>
                <w:sz w:val="24"/>
                <w:szCs w:val="24"/>
              </w:rPr>
              <w:t>£</w:t>
            </w:r>
            <w:r w:rsidRPr="008C47ED">
              <w:rPr>
                <w:rFonts w:ascii="Arial" w:hAnsi="Arial" w:cs="Arial"/>
                <w:b/>
                <w:bCs/>
                <w:sz w:val="24"/>
                <w:szCs w:val="24"/>
              </w:rPr>
              <w:t xml:space="preserve">5,467,151 </w:t>
            </w:r>
          </w:p>
        </w:tc>
      </w:tr>
      <w:tr w:rsidR="008C47ED" w:rsidRPr="00A21BBC" w:rsidTr="008C47ED">
        <w:trPr>
          <w:trHeight w:val="397"/>
        </w:trPr>
        <w:tc>
          <w:tcPr>
            <w:tcW w:w="2087" w:type="dxa"/>
            <w:shd w:val="clear" w:color="auto" w:fill="C6D9F1"/>
            <w:vAlign w:val="center"/>
          </w:tcPr>
          <w:p w:rsidR="008C47ED" w:rsidRPr="008C47ED" w:rsidRDefault="008C47ED" w:rsidP="008C47ED">
            <w:pPr>
              <w:pStyle w:val="ListParagraph"/>
              <w:autoSpaceDE w:val="0"/>
              <w:autoSpaceDN w:val="0"/>
              <w:adjustRightInd w:val="0"/>
              <w:spacing w:after="0" w:line="240" w:lineRule="auto"/>
              <w:ind w:left="0"/>
              <w:rPr>
                <w:rFonts w:ascii="Arial" w:hAnsi="Arial" w:cs="Arial"/>
                <w:b/>
                <w:sz w:val="24"/>
                <w:szCs w:val="24"/>
              </w:rPr>
            </w:pPr>
            <w:r w:rsidRPr="008C47ED">
              <w:rPr>
                <w:rFonts w:ascii="Arial" w:hAnsi="Arial" w:cs="Arial"/>
                <w:b/>
                <w:sz w:val="24"/>
                <w:szCs w:val="24"/>
              </w:rPr>
              <w:t>Grant payments</w:t>
            </w:r>
          </w:p>
        </w:tc>
        <w:tc>
          <w:tcPr>
            <w:tcW w:w="2077" w:type="dxa"/>
            <w:shd w:val="clear" w:color="auto" w:fill="auto"/>
            <w:vAlign w:val="center"/>
          </w:tcPr>
          <w:p w:rsidR="008C47ED" w:rsidRPr="008C47ED" w:rsidRDefault="008C47ED" w:rsidP="008C47ED">
            <w:pPr>
              <w:spacing w:after="0" w:line="240" w:lineRule="auto"/>
              <w:rPr>
                <w:rFonts w:ascii="Arial" w:hAnsi="Arial" w:cs="Arial"/>
                <w:b/>
                <w:bCs/>
                <w:sz w:val="24"/>
                <w:szCs w:val="24"/>
              </w:rPr>
            </w:pPr>
            <w:r>
              <w:rPr>
                <w:rFonts w:ascii="Arial" w:hAnsi="Arial" w:cs="Arial"/>
                <w:b/>
                <w:bCs/>
                <w:sz w:val="24"/>
                <w:szCs w:val="24"/>
              </w:rPr>
              <w:t>£</w:t>
            </w:r>
            <w:r w:rsidRPr="008C47ED">
              <w:rPr>
                <w:rFonts w:ascii="Arial" w:hAnsi="Arial" w:cs="Arial"/>
                <w:b/>
                <w:bCs/>
                <w:sz w:val="24"/>
                <w:szCs w:val="24"/>
              </w:rPr>
              <w:t xml:space="preserve">6,646,288 </w:t>
            </w:r>
          </w:p>
        </w:tc>
        <w:tc>
          <w:tcPr>
            <w:tcW w:w="2357" w:type="dxa"/>
            <w:shd w:val="clear" w:color="auto" w:fill="auto"/>
            <w:vAlign w:val="center"/>
          </w:tcPr>
          <w:p w:rsidR="008C47ED" w:rsidRPr="008C47ED" w:rsidRDefault="008C47ED" w:rsidP="008C47ED">
            <w:pPr>
              <w:spacing w:after="0" w:line="240" w:lineRule="auto"/>
              <w:rPr>
                <w:rFonts w:ascii="Arial" w:hAnsi="Arial" w:cs="Arial"/>
                <w:b/>
                <w:bCs/>
                <w:sz w:val="24"/>
                <w:szCs w:val="24"/>
              </w:rPr>
            </w:pPr>
            <w:r>
              <w:rPr>
                <w:rFonts w:ascii="Arial" w:hAnsi="Arial" w:cs="Arial"/>
                <w:b/>
                <w:bCs/>
                <w:sz w:val="24"/>
                <w:szCs w:val="24"/>
              </w:rPr>
              <w:t>£</w:t>
            </w:r>
            <w:r w:rsidRPr="008C47ED">
              <w:rPr>
                <w:rFonts w:ascii="Arial" w:hAnsi="Arial" w:cs="Arial"/>
                <w:b/>
                <w:bCs/>
                <w:sz w:val="24"/>
                <w:szCs w:val="24"/>
              </w:rPr>
              <w:t>5,558,475</w:t>
            </w:r>
          </w:p>
        </w:tc>
        <w:tc>
          <w:tcPr>
            <w:tcW w:w="2410" w:type="dxa"/>
            <w:shd w:val="clear" w:color="auto" w:fill="auto"/>
            <w:vAlign w:val="center"/>
          </w:tcPr>
          <w:p w:rsidR="008C47ED" w:rsidRPr="008C47ED" w:rsidRDefault="008C47ED" w:rsidP="008C47ED">
            <w:pPr>
              <w:spacing w:after="0" w:line="240" w:lineRule="auto"/>
              <w:rPr>
                <w:rFonts w:ascii="Arial" w:hAnsi="Arial" w:cs="Arial"/>
                <w:b/>
                <w:bCs/>
                <w:sz w:val="24"/>
                <w:szCs w:val="24"/>
              </w:rPr>
            </w:pPr>
            <w:r>
              <w:rPr>
                <w:rFonts w:ascii="Arial" w:hAnsi="Arial" w:cs="Arial"/>
                <w:b/>
                <w:bCs/>
                <w:sz w:val="24"/>
                <w:szCs w:val="24"/>
              </w:rPr>
              <w:t>£</w:t>
            </w:r>
            <w:r w:rsidRPr="008C47ED">
              <w:rPr>
                <w:rFonts w:ascii="Arial" w:hAnsi="Arial" w:cs="Arial"/>
                <w:b/>
                <w:bCs/>
                <w:sz w:val="24"/>
                <w:szCs w:val="24"/>
              </w:rPr>
              <w:t xml:space="preserve">2,077,241 </w:t>
            </w:r>
          </w:p>
        </w:tc>
      </w:tr>
      <w:tr w:rsidR="008C47ED" w:rsidRPr="00A21BBC" w:rsidTr="008C47ED">
        <w:trPr>
          <w:trHeight w:val="397"/>
        </w:trPr>
        <w:tc>
          <w:tcPr>
            <w:tcW w:w="2087" w:type="dxa"/>
            <w:shd w:val="clear" w:color="auto" w:fill="C6D9F1"/>
            <w:vAlign w:val="center"/>
          </w:tcPr>
          <w:p w:rsidR="008C47ED" w:rsidRPr="008C47ED" w:rsidRDefault="008C47ED" w:rsidP="008C47ED">
            <w:pPr>
              <w:pStyle w:val="ListParagraph"/>
              <w:autoSpaceDE w:val="0"/>
              <w:autoSpaceDN w:val="0"/>
              <w:adjustRightInd w:val="0"/>
              <w:spacing w:after="0" w:line="240" w:lineRule="auto"/>
              <w:ind w:left="0"/>
              <w:rPr>
                <w:rFonts w:ascii="Arial" w:hAnsi="Arial" w:cs="Arial"/>
                <w:b/>
                <w:sz w:val="24"/>
                <w:szCs w:val="24"/>
              </w:rPr>
            </w:pPr>
            <w:r w:rsidRPr="008C47ED">
              <w:rPr>
                <w:rFonts w:ascii="Arial" w:hAnsi="Arial" w:cs="Arial"/>
                <w:b/>
                <w:sz w:val="24"/>
                <w:szCs w:val="24"/>
              </w:rPr>
              <w:t>Total payment</w:t>
            </w:r>
          </w:p>
        </w:tc>
        <w:tc>
          <w:tcPr>
            <w:tcW w:w="2077" w:type="dxa"/>
            <w:shd w:val="clear" w:color="auto" w:fill="C6D9F1"/>
            <w:vAlign w:val="center"/>
          </w:tcPr>
          <w:p w:rsidR="008C47ED" w:rsidRPr="008C47ED" w:rsidRDefault="008C47ED" w:rsidP="008C47ED">
            <w:pPr>
              <w:spacing w:after="0" w:line="240" w:lineRule="auto"/>
              <w:rPr>
                <w:rFonts w:ascii="Arial" w:hAnsi="Arial" w:cs="Arial"/>
                <w:b/>
                <w:color w:val="000000"/>
                <w:sz w:val="24"/>
                <w:szCs w:val="24"/>
              </w:rPr>
            </w:pPr>
            <w:r>
              <w:rPr>
                <w:rFonts w:ascii="Arial" w:hAnsi="Arial" w:cs="Arial"/>
                <w:b/>
                <w:color w:val="000000"/>
                <w:sz w:val="24"/>
                <w:szCs w:val="24"/>
              </w:rPr>
              <w:t>£</w:t>
            </w:r>
            <w:r w:rsidRPr="008C47ED">
              <w:rPr>
                <w:rFonts w:ascii="Arial" w:hAnsi="Arial" w:cs="Arial"/>
                <w:b/>
                <w:color w:val="000000"/>
                <w:sz w:val="24"/>
                <w:szCs w:val="24"/>
              </w:rPr>
              <w:t>9,833,986</w:t>
            </w:r>
          </w:p>
        </w:tc>
        <w:tc>
          <w:tcPr>
            <w:tcW w:w="2357" w:type="dxa"/>
            <w:shd w:val="clear" w:color="auto" w:fill="C6D9F1"/>
            <w:vAlign w:val="center"/>
          </w:tcPr>
          <w:p w:rsidR="008C47ED" w:rsidRPr="008C47ED" w:rsidRDefault="008C47ED" w:rsidP="008C47ED">
            <w:pPr>
              <w:spacing w:after="0" w:line="240" w:lineRule="auto"/>
              <w:rPr>
                <w:rFonts w:ascii="Arial" w:hAnsi="Arial" w:cs="Arial"/>
                <w:b/>
                <w:color w:val="000000"/>
                <w:sz w:val="24"/>
                <w:szCs w:val="24"/>
              </w:rPr>
            </w:pPr>
            <w:r>
              <w:rPr>
                <w:rFonts w:ascii="Arial" w:hAnsi="Arial" w:cs="Arial"/>
                <w:b/>
                <w:color w:val="000000"/>
                <w:sz w:val="24"/>
                <w:szCs w:val="24"/>
              </w:rPr>
              <w:t>£</w:t>
            </w:r>
            <w:r w:rsidRPr="008C47ED">
              <w:rPr>
                <w:rFonts w:ascii="Arial" w:hAnsi="Arial" w:cs="Arial"/>
                <w:b/>
                <w:color w:val="000000"/>
                <w:sz w:val="24"/>
                <w:szCs w:val="24"/>
              </w:rPr>
              <w:t>10,500,224</w:t>
            </w:r>
          </w:p>
        </w:tc>
        <w:tc>
          <w:tcPr>
            <w:tcW w:w="2410" w:type="dxa"/>
            <w:shd w:val="clear" w:color="auto" w:fill="C6D9F1"/>
            <w:vAlign w:val="center"/>
          </w:tcPr>
          <w:p w:rsidR="008C47ED" w:rsidRPr="008C47ED" w:rsidRDefault="008C47ED" w:rsidP="008C47ED">
            <w:pPr>
              <w:spacing w:after="0" w:line="240" w:lineRule="auto"/>
              <w:rPr>
                <w:rFonts w:ascii="Arial" w:hAnsi="Arial" w:cs="Arial"/>
                <w:b/>
                <w:color w:val="000000"/>
                <w:sz w:val="24"/>
                <w:szCs w:val="24"/>
              </w:rPr>
            </w:pPr>
            <w:r>
              <w:rPr>
                <w:rFonts w:ascii="Arial" w:hAnsi="Arial" w:cs="Arial"/>
                <w:b/>
                <w:color w:val="000000"/>
                <w:sz w:val="24"/>
                <w:szCs w:val="24"/>
              </w:rPr>
              <w:t>£</w:t>
            </w:r>
            <w:r w:rsidRPr="008C47ED">
              <w:rPr>
                <w:rFonts w:ascii="Arial" w:hAnsi="Arial" w:cs="Arial"/>
                <w:b/>
                <w:color w:val="000000"/>
                <w:sz w:val="24"/>
                <w:szCs w:val="24"/>
              </w:rPr>
              <w:t>7,544,392</w:t>
            </w:r>
          </w:p>
        </w:tc>
      </w:tr>
    </w:tbl>
    <w:p w:rsidR="008C47ED" w:rsidRPr="003A1630" w:rsidRDefault="008C47ED" w:rsidP="008C47ED">
      <w:pPr>
        <w:spacing w:after="0" w:line="240" w:lineRule="auto"/>
        <w:rPr>
          <w:rFonts w:ascii="Arial" w:hAnsi="Arial" w:cs="Arial"/>
          <w:sz w:val="18"/>
          <w:szCs w:val="18"/>
        </w:rPr>
      </w:pPr>
      <w:r w:rsidRPr="003A1630">
        <w:rPr>
          <w:rFonts w:ascii="Arial" w:hAnsi="Arial" w:cs="Arial"/>
          <w:sz w:val="18"/>
          <w:szCs w:val="18"/>
        </w:rPr>
        <w:t xml:space="preserve">*no loan payments </w:t>
      </w:r>
      <w:r>
        <w:rPr>
          <w:rFonts w:ascii="Arial" w:hAnsi="Arial" w:cs="Arial"/>
          <w:sz w:val="18"/>
          <w:szCs w:val="18"/>
        </w:rPr>
        <w:t>will be</w:t>
      </w:r>
      <w:r w:rsidRPr="003A1630">
        <w:rPr>
          <w:rFonts w:ascii="Arial" w:hAnsi="Arial" w:cs="Arial"/>
          <w:sz w:val="18"/>
          <w:szCs w:val="18"/>
        </w:rPr>
        <w:t xml:space="preserve"> made during 2018/19 as no deals</w:t>
      </w:r>
      <w:r>
        <w:rPr>
          <w:rFonts w:ascii="Arial" w:hAnsi="Arial" w:cs="Arial"/>
          <w:sz w:val="18"/>
          <w:szCs w:val="18"/>
        </w:rPr>
        <w:t xml:space="preserve"> will</w:t>
      </w:r>
      <w:r w:rsidRPr="003A1630">
        <w:rPr>
          <w:rFonts w:ascii="Arial" w:hAnsi="Arial" w:cs="Arial"/>
          <w:sz w:val="18"/>
          <w:szCs w:val="18"/>
        </w:rPr>
        <w:t xml:space="preserve"> reach</w:t>
      </w:r>
      <w:r>
        <w:rPr>
          <w:rFonts w:ascii="Arial" w:hAnsi="Arial" w:cs="Arial"/>
          <w:sz w:val="18"/>
          <w:szCs w:val="18"/>
        </w:rPr>
        <w:t xml:space="preserve"> </w:t>
      </w:r>
      <w:r w:rsidRPr="003A1630">
        <w:rPr>
          <w:rFonts w:ascii="Arial" w:hAnsi="Arial" w:cs="Arial"/>
          <w:sz w:val="18"/>
          <w:szCs w:val="18"/>
        </w:rPr>
        <w:t>the unconditional stage during this period.</w:t>
      </w:r>
    </w:p>
    <w:p w:rsidR="008C47ED" w:rsidRPr="00BF2847" w:rsidRDefault="008C47ED" w:rsidP="008C47ED">
      <w:pPr>
        <w:spacing w:after="0" w:line="240" w:lineRule="auto"/>
        <w:rPr>
          <w:rFonts w:ascii="Arial" w:hAnsi="Arial" w:cs="Arial"/>
          <w:sz w:val="24"/>
          <w:szCs w:val="24"/>
        </w:rPr>
      </w:pPr>
    </w:p>
    <w:p w:rsidR="008C47ED" w:rsidRDefault="008C47ED" w:rsidP="008C47ED">
      <w:pPr>
        <w:spacing w:after="0" w:line="240" w:lineRule="auto"/>
        <w:rPr>
          <w:rFonts w:ascii="Arial" w:hAnsi="Arial" w:cs="Arial"/>
          <w:sz w:val="24"/>
        </w:rPr>
      </w:pPr>
      <w:r w:rsidRPr="008C47ED">
        <w:rPr>
          <w:rFonts w:ascii="Arial" w:hAnsi="Arial" w:cs="Arial"/>
          <w:sz w:val="24"/>
        </w:rPr>
        <w:t>The following table demonstrates the financial position compared with where HCA forecast it would be when the 2016 BDP was drafted</w:t>
      </w:r>
    </w:p>
    <w:p w:rsidR="008C47ED" w:rsidRDefault="008C47ED" w:rsidP="008C47ED">
      <w:pPr>
        <w:spacing w:after="0" w:line="240" w:lineRule="auto"/>
        <w:rPr>
          <w:rFonts w:ascii="Arial" w:hAnsi="Arial" w:cs="Arial"/>
          <w:sz w:val="24"/>
        </w:rPr>
      </w:pPr>
    </w:p>
    <w:p w:rsidR="008C47ED" w:rsidRPr="008C47ED" w:rsidRDefault="008C47ED" w:rsidP="008C47ED">
      <w:pPr>
        <w:spacing w:after="0" w:line="240" w:lineRule="auto"/>
        <w:rPr>
          <w:rFonts w:ascii="Arial" w:hAnsi="Arial" w:cs="Arial"/>
          <w:sz w:val="24"/>
        </w:rPr>
      </w:pPr>
    </w:p>
    <w:p w:rsidR="008C47ED" w:rsidRDefault="008C47ED" w:rsidP="008C47ED">
      <w:pPr>
        <w:pStyle w:val="ListParagraph"/>
        <w:spacing w:after="0" w:line="240" w:lineRule="auto"/>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191"/>
        <w:gridCol w:w="2187"/>
        <w:gridCol w:w="1957"/>
      </w:tblGrid>
      <w:tr w:rsidR="008C47ED" w:rsidRPr="00623A61" w:rsidTr="008C47ED">
        <w:tc>
          <w:tcPr>
            <w:tcW w:w="2134" w:type="dxa"/>
            <w:tcBorders>
              <w:bottom w:val="single" w:sz="4" w:space="0" w:color="auto"/>
            </w:tcBorders>
            <w:shd w:val="clear" w:color="auto" w:fill="1F497D"/>
          </w:tcPr>
          <w:p w:rsidR="008C47ED" w:rsidRPr="008C47ED" w:rsidRDefault="008C47ED" w:rsidP="008C47ED">
            <w:pPr>
              <w:spacing w:after="0" w:line="240" w:lineRule="auto"/>
              <w:rPr>
                <w:rFonts w:ascii="Arial" w:hAnsi="Arial" w:cs="Arial"/>
                <w:sz w:val="24"/>
                <w:szCs w:val="24"/>
              </w:rPr>
            </w:pPr>
          </w:p>
        </w:tc>
        <w:tc>
          <w:tcPr>
            <w:tcW w:w="2191" w:type="dxa"/>
            <w:shd w:val="clear" w:color="auto" w:fill="1F497D"/>
          </w:tcPr>
          <w:p w:rsidR="008C47ED" w:rsidRPr="008C47ED" w:rsidRDefault="008C47ED" w:rsidP="008C47ED">
            <w:pPr>
              <w:spacing w:after="0" w:line="240" w:lineRule="auto"/>
              <w:rPr>
                <w:rFonts w:ascii="Arial" w:hAnsi="Arial" w:cs="Arial"/>
                <w:b/>
                <w:color w:val="FFFFFF"/>
                <w:sz w:val="24"/>
                <w:szCs w:val="24"/>
              </w:rPr>
            </w:pPr>
            <w:r w:rsidRPr="008C47ED">
              <w:rPr>
                <w:rFonts w:ascii="Arial" w:hAnsi="Arial" w:cs="Arial"/>
                <w:b/>
                <w:color w:val="FFFFFF"/>
                <w:sz w:val="24"/>
                <w:szCs w:val="24"/>
              </w:rPr>
              <w:t>2016/17 (forecast)</w:t>
            </w:r>
          </w:p>
        </w:tc>
        <w:tc>
          <w:tcPr>
            <w:tcW w:w="2187" w:type="dxa"/>
            <w:shd w:val="clear" w:color="auto" w:fill="1F497D"/>
          </w:tcPr>
          <w:p w:rsidR="008C47ED" w:rsidRPr="008C47ED" w:rsidRDefault="008C47ED" w:rsidP="008C47ED">
            <w:pPr>
              <w:spacing w:after="0" w:line="240" w:lineRule="auto"/>
              <w:rPr>
                <w:rFonts w:ascii="Arial" w:hAnsi="Arial" w:cs="Arial"/>
                <w:b/>
                <w:color w:val="FFFFFF"/>
                <w:sz w:val="24"/>
                <w:szCs w:val="24"/>
              </w:rPr>
            </w:pPr>
            <w:r w:rsidRPr="008C47ED">
              <w:rPr>
                <w:rFonts w:ascii="Arial" w:hAnsi="Arial" w:cs="Arial"/>
                <w:b/>
                <w:color w:val="FFFFFF"/>
                <w:sz w:val="24"/>
                <w:szCs w:val="24"/>
              </w:rPr>
              <w:t>2016/17 (actual)</w:t>
            </w:r>
          </w:p>
        </w:tc>
        <w:tc>
          <w:tcPr>
            <w:tcW w:w="1957" w:type="dxa"/>
            <w:shd w:val="clear" w:color="auto" w:fill="1F497D"/>
          </w:tcPr>
          <w:p w:rsidR="008C47ED" w:rsidRPr="008C47ED" w:rsidRDefault="008C47ED" w:rsidP="008C47ED">
            <w:pPr>
              <w:spacing w:after="0" w:line="240" w:lineRule="auto"/>
              <w:rPr>
                <w:rFonts w:ascii="Arial" w:hAnsi="Arial" w:cs="Arial"/>
                <w:b/>
                <w:color w:val="FFFFFF"/>
                <w:sz w:val="24"/>
                <w:szCs w:val="24"/>
              </w:rPr>
            </w:pPr>
            <w:r w:rsidRPr="008C47ED">
              <w:rPr>
                <w:rFonts w:ascii="Arial" w:hAnsi="Arial" w:cs="Arial"/>
                <w:b/>
                <w:color w:val="FFFFFF"/>
                <w:sz w:val="24"/>
                <w:szCs w:val="24"/>
              </w:rPr>
              <w:t>Difference (£)</w:t>
            </w:r>
          </w:p>
        </w:tc>
      </w:tr>
      <w:tr w:rsidR="008C47ED" w:rsidRPr="00623A61" w:rsidTr="008C47ED">
        <w:tc>
          <w:tcPr>
            <w:tcW w:w="2134" w:type="dxa"/>
            <w:shd w:val="clear" w:color="auto" w:fill="C6D9F1"/>
          </w:tcPr>
          <w:p w:rsidR="008C47ED" w:rsidRPr="008C47ED" w:rsidRDefault="008C47ED" w:rsidP="008C47ED">
            <w:pPr>
              <w:spacing w:after="0" w:line="240" w:lineRule="auto"/>
              <w:rPr>
                <w:rFonts w:ascii="Arial" w:hAnsi="Arial" w:cs="Arial"/>
                <w:b/>
                <w:sz w:val="24"/>
                <w:szCs w:val="24"/>
              </w:rPr>
            </w:pPr>
            <w:r w:rsidRPr="008C47ED">
              <w:rPr>
                <w:rFonts w:ascii="Arial" w:hAnsi="Arial" w:cs="Arial"/>
                <w:b/>
                <w:sz w:val="24"/>
                <w:szCs w:val="24"/>
              </w:rPr>
              <w:t>Receipts (£)</w:t>
            </w:r>
          </w:p>
        </w:tc>
        <w:tc>
          <w:tcPr>
            <w:tcW w:w="2191" w:type="dxa"/>
            <w:shd w:val="clear" w:color="auto" w:fill="auto"/>
          </w:tcPr>
          <w:p w:rsidR="008C47ED" w:rsidRPr="008C47ED" w:rsidRDefault="008C47ED" w:rsidP="008C47ED">
            <w:pPr>
              <w:spacing w:after="0" w:line="240" w:lineRule="auto"/>
              <w:rPr>
                <w:rFonts w:ascii="Arial" w:hAnsi="Arial" w:cs="Arial"/>
                <w:sz w:val="24"/>
                <w:szCs w:val="24"/>
              </w:rPr>
            </w:pPr>
            <w:r w:rsidRPr="008C47ED">
              <w:rPr>
                <w:rFonts w:ascii="Arial" w:hAnsi="Arial" w:cs="Arial"/>
                <w:sz w:val="24"/>
                <w:szCs w:val="24"/>
              </w:rPr>
              <w:t>8,637,943</w:t>
            </w:r>
          </w:p>
        </w:tc>
        <w:tc>
          <w:tcPr>
            <w:tcW w:w="2187" w:type="dxa"/>
            <w:shd w:val="clear" w:color="auto" w:fill="auto"/>
          </w:tcPr>
          <w:p w:rsidR="008C47ED" w:rsidRPr="008C47ED" w:rsidRDefault="008C47ED" w:rsidP="008C47ED">
            <w:pPr>
              <w:spacing w:after="0" w:line="240" w:lineRule="auto"/>
              <w:rPr>
                <w:rFonts w:ascii="Arial" w:hAnsi="Arial" w:cs="Arial"/>
                <w:sz w:val="24"/>
                <w:szCs w:val="24"/>
              </w:rPr>
            </w:pPr>
            <w:r w:rsidRPr="008C47ED">
              <w:rPr>
                <w:rFonts w:ascii="Arial" w:hAnsi="Arial" w:cs="Arial"/>
                <w:sz w:val="24"/>
                <w:szCs w:val="24"/>
              </w:rPr>
              <w:t>9,599,105</w:t>
            </w:r>
          </w:p>
        </w:tc>
        <w:tc>
          <w:tcPr>
            <w:tcW w:w="1957" w:type="dxa"/>
            <w:shd w:val="clear" w:color="auto" w:fill="auto"/>
          </w:tcPr>
          <w:p w:rsidR="008C47ED" w:rsidRPr="008C47ED" w:rsidRDefault="008C47ED" w:rsidP="008C47ED">
            <w:pPr>
              <w:spacing w:after="0" w:line="240" w:lineRule="auto"/>
              <w:rPr>
                <w:rFonts w:ascii="Arial" w:hAnsi="Arial" w:cs="Arial"/>
                <w:sz w:val="24"/>
                <w:szCs w:val="24"/>
              </w:rPr>
            </w:pPr>
            <w:r w:rsidRPr="008C47ED">
              <w:rPr>
                <w:rFonts w:ascii="Arial" w:hAnsi="Arial" w:cs="Arial"/>
                <w:sz w:val="24"/>
                <w:szCs w:val="24"/>
              </w:rPr>
              <w:t>+£961,162</w:t>
            </w:r>
          </w:p>
        </w:tc>
      </w:tr>
      <w:tr w:rsidR="008C47ED" w:rsidRPr="00623A61" w:rsidTr="008C47ED">
        <w:trPr>
          <w:trHeight w:val="70"/>
        </w:trPr>
        <w:tc>
          <w:tcPr>
            <w:tcW w:w="2134" w:type="dxa"/>
            <w:shd w:val="clear" w:color="auto" w:fill="C6D9F1"/>
          </w:tcPr>
          <w:p w:rsidR="008C47ED" w:rsidRPr="008C47ED" w:rsidRDefault="008C47ED" w:rsidP="008C47ED">
            <w:pPr>
              <w:spacing w:after="0" w:line="240" w:lineRule="auto"/>
              <w:rPr>
                <w:rFonts w:ascii="Arial" w:hAnsi="Arial" w:cs="Arial"/>
                <w:b/>
                <w:sz w:val="24"/>
                <w:szCs w:val="24"/>
              </w:rPr>
            </w:pPr>
            <w:r w:rsidRPr="008C47ED">
              <w:rPr>
                <w:rFonts w:ascii="Arial" w:hAnsi="Arial" w:cs="Arial"/>
                <w:b/>
                <w:sz w:val="24"/>
                <w:szCs w:val="24"/>
              </w:rPr>
              <w:t>Grant (£)</w:t>
            </w:r>
          </w:p>
        </w:tc>
        <w:tc>
          <w:tcPr>
            <w:tcW w:w="2191" w:type="dxa"/>
            <w:shd w:val="clear" w:color="auto" w:fill="auto"/>
          </w:tcPr>
          <w:p w:rsidR="008C47ED" w:rsidRPr="008C47ED" w:rsidRDefault="008C47ED" w:rsidP="008C47ED">
            <w:pPr>
              <w:spacing w:after="0" w:line="240" w:lineRule="auto"/>
              <w:rPr>
                <w:rFonts w:ascii="Arial" w:hAnsi="Arial" w:cs="Arial"/>
                <w:sz w:val="24"/>
                <w:szCs w:val="24"/>
              </w:rPr>
            </w:pPr>
            <w:r w:rsidRPr="008C47ED">
              <w:rPr>
                <w:rFonts w:ascii="Arial" w:hAnsi="Arial" w:cs="Arial"/>
                <w:sz w:val="24"/>
                <w:szCs w:val="24"/>
              </w:rPr>
              <w:t>3,359,124</w:t>
            </w:r>
          </w:p>
        </w:tc>
        <w:tc>
          <w:tcPr>
            <w:tcW w:w="2187" w:type="dxa"/>
            <w:shd w:val="clear" w:color="auto" w:fill="auto"/>
          </w:tcPr>
          <w:p w:rsidR="008C47ED" w:rsidRPr="008C47ED" w:rsidRDefault="008C47ED" w:rsidP="008C47ED">
            <w:pPr>
              <w:spacing w:after="0" w:line="240" w:lineRule="auto"/>
              <w:rPr>
                <w:rFonts w:ascii="Arial" w:hAnsi="Arial" w:cs="Arial"/>
                <w:sz w:val="24"/>
                <w:szCs w:val="24"/>
              </w:rPr>
            </w:pPr>
            <w:r w:rsidRPr="008C47ED">
              <w:rPr>
                <w:rFonts w:ascii="Arial" w:hAnsi="Arial" w:cs="Arial"/>
                <w:sz w:val="24"/>
                <w:szCs w:val="24"/>
              </w:rPr>
              <w:t>4,623,920</w:t>
            </w:r>
          </w:p>
        </w:tc>
        <w:tc>
          <w:tcPr>
            <w:tcW w:w="1957" w:type="dxa"/>
            <w:shd w:val="clear" w:color="auto" w:fill="auto"/>
          </w:tcPr>
          <w:p w:rsidR="008C47ED" w:rsidRPr="008C47ED" w:rsidRDefault="008C47ED" w:rsidP="008C47ED">
            <w:pPr>
              <w:spacing w:after="0" w:line="240" w:lineRule="auto"/>
              <w:rPr>
                <w:rFonts w:ascii="Arial" w:hAnsi="Arial" w:cs="Arial"/>
                <w:sz w:val="24"/>
                <w:szCs w:val="24"/>
              </w:rPr>
            </w:pPr>
            <w:r w:rsidRPr="008C47ED">
              <w:rPr>
                <w:rFonts w:ascii="Arial" w:hAnsi="Arial" w:cs="Arial"/>
                <w:sz w:val="24"/>
                <w:szCs w:val="24"/>
              </w:rPr>
              <w:t>+£1,264,976</w:t>
            </w:r>
          </w:p>
        </w:tc>
      </w:tr>
      <w:tr w:rsidR="008C47ED" w:rsidRPr="00623A61" w:rsidTr="008C47ED">
        <w:tc>
          <w:tcPr>
            <w:tcW w:w="2134" w:type="dxa"/>
            <w:shd w:val="clear" w:color="auto" w:fill="C6D9F1"/>
          </w:tcPr>
          <w:p w:rsidR="008C47ED" w:rsidRPr="008C47ED" w:rsidRDefault="008C47ED" w:rsidP="008C47ED">
            <w:pPr>
              <w:spacing w:after="0" w:line="240" w:lineRule="auto"/>
              <w:rPr>
                <w:rFonts w:ascii="Arial" w:hAnsi="Arial" w:cs="Arial"/>
                <w:b/>
                <w:sz w:val="24"/>
                <w:szCs w:val="24"/>
              </w:rPr>
            </w:pPr>
            <w:r w:rsidRPr="008C47ED">
              <w:rPr>
                <w:rFonts w:ascii="Arial" w:hAnsi="Arial" w:cs="Arial"/>
                <w:b/>
                <w:sz w:val="24"/>
                <w:szCs w:val="24"/>
              </w:rPr>
              <w:t>Loan (£)</w:t>
            </w:r>
          </w:p>
        </w:tc>
        <w:tc>
          <w:tcPr>
            <w:tcW w:w="2191" w:type="dxa"/>
            <w:shd w:val="clear" w:color="auto" w:fill="auto"/>
          </w:tcPr>
          <w:p w:rsidR="008C47ED" w:rsidRPr="008C47ED" w:rsidRDefault="008C47ED" w:rsidP="008C47ED">
            <w:pPr>
              <w:spacing w:after="0" w:line="240" w:lineRule="auto"/>
              <w:rPr>
                <w:rFonts w:ascii="Arial" w:hAnsi="Arial" w:cs="Arial"/>
                <w:sz w:val="24"/>
                <w:szCs w:val="24"/>
              </w:rPr>
            </w:pPr>
            <w:r w:rsidRPr="008C47ED">
              <w:rPr>
                <w:rFonts w:ascii="Arial" w:hAnsi="Arial" w:cs="Arial"/>
                <w:sz w:val="24"/>
                <w:szCs w:val="24"/>
              </w:rPr>
              <w:t>4,942,295</w:t>
            </w:r>
          </w:p>
        </w:tc>
        <w:tc>
          <w:tcPr>
            <w:tcW w:w="2187" w:type="dxa"/>
            <w:shd w:val="clear" w:color="auto" w:fill="auto"/>
          </w:tcPr>
          <w:p w:rsidR="008C47ED" w:rsidRPr="008C47ED" w:rsidRDefault="008C47ED" w:rsidP="008C47ED">
            <w:pPr>
              <w:spacing w:after="0" w:line="240" w:lineRule="auto"/>
              <w:rPr>
                <w:rFonts w:ascii="Arial" w:hAnsi="Arial" w:cs="Arial"/>
                <w:sz w:val="24"/>
                <w:szCs w:val="24"/>
              </w:rPr>
            </w:pPr>
            <w:r w:rsidRPr="008C47ED">
              <w:rPr>
                <w:rFonts w:ascii="Arial" w:hAnsi="Arial" w:cs="Arial"/>
                <w:sz w:val="24"/>
                <w:szCs w:val="24"/>
              </w:rPr>
              <w:t>1,947,682</w:t>
            </w:r>
          </w:p>
        </w:tc>
        <w:tc>
          <w:tcPr>
            <w:tcW w:w="1957" w:type="dxa"/>
            <w:shd w:val="clear" w:color="auto" w:fill="auto"/>
          </w:tcPr>
          <w:p w:rsidR="008C47ED" w:rsidRPr="008C47ED" w:rsidRDefault="008C47ED" w:rsidP="008C47ED">
            <w:pPr>
              <w:spacing w:after="0" w:line="240" w:lineRule="auto"/>
              <w:rPr>
                <w:rFonts w:ascii="Arial" w:hAnsi="Arial" w:cs="Arial"/>
                <w:sz w:val="24"/>
                <w:szCs w:val="24"/>
              </w:rPr>
            </w:pPr>
            <w:r w:rsidRPr="008C47ED">
              <w:rPr>
                <w:rFonts w:ascii="Arial" w:hAnsi="Arial" w:cs="Arial"/>
                <w:sz w:val="24"/>
                <w:szCs w:val="24"/>
              </w:rPr>
              <w:t>-£2,994,693</w:t>
            </w:r>
          </w:p>
        </w:tc>
      </w:tr>
    </w:tbl>
    <w:p w:rsidR="008C47ED" w:rsidRDefault="008C47ED" w:rsidP="008C47ED">
      <w:pPr>
        <w:spacing w:after="0" w:line="240" w:lineRule="auto"/>
        <w:ind w:left="709"/>
        <w:rPr>
          <w:rFonts w:ascii="Arial" w:hAnsi="Arial" w:cs="Arial"/>
          <w:sz w:val="24"/>
        </w:rPr>
      </w:pPr>
    </w:p>
    <w:p w:rsidR="008C47ED" w:rsidRDefault="008C47ED" w:rsidP="008C47ED">
      <w:pPr>
        <w:spacing w:after="0" w:line="240" w:lineRule="auto"/>
        <w:rPr>
          <w:rFonts w:ascii="Arial" w:hAnsi="Arial" w:cs="Arial"/>
          <w:sz w:val="24"/>
        </w:rPr>
      </w:pPr>
      <w:r w:rsidRPr="00641ADF">
        <w:rPr>
          <w:rFonts w:ascii="Arial" w:hAnsi="Arial" w:cs="Arial"/>
          <w:sz w:val="24"/>
        </w:rPr>
        <w:t xml:space="preserve">The key differences between the forecast and actuals for 2016/17 relate to the delays in Cottam Hall phase 3 associated with the amendments required to the s106 agreement delaying the ability to get the deal with Morris Homes to an unconditional stage and thereby triggering the £3m loan to City Deal. The receipts and grant are both higher than was forecast within the BDP in 2016, this was mainly due to the receipt for Preston East Sector D, being considerably higher than expected, through the sale to Inchcape for a car dealership led scheme. </w:t>
      </w:r>
    </w:p>
    <w:p w:rsidR="008C47ED" w:rsidRDefault="008C47ED" w:rsidP="008C47ED">
      <w:pPr>
        <w:spacing w:after="0" w:line="240" w:lineRule="auto"/>
        <w:rPr>
          <w:rFonts w:ascii="Arial" w:hAnsi="Arial" w:cs="Arial"/>
          <w:sz w:val="24"/>
        </w:rPr>
      </w:pPr>
      <w:r w:rsidRPr="00641ADF">
        <w:rPr>
          <w:rFonts w:ascii="Arial" w:hAnsi="Arial" w:cs="Arial"/>
          <w:sz w:val="24"/>
        </w:rPr>
        <w:t xml:space="preserve">Since the payment of the first loan in 2014/15, HCA have received loan repayments totalling £13.76m and interest of £87k. </w:t>
      </w:r>
    </w:p>
    <w:p w:rsidR="008C47ED" w:rsidRPr="00641ADF" w:rsidRDefault="008C47ED" w:rsidP="008C47ED">
      <w:pPr>
        <w:spacing w:after="0" w:line="240" w:lineRule="auto"/>
        <w:rPr>
          <w:rFonts w:ascii="Arial" w:hAnsi="Arial" w:cs="Arial"/>
          <w:sz w:val="24"/>
        </w:rPr>
      </w:pPr>
    </w:p>
    <w:p w:rsidR="008C47ED" w:rsidRPr="00641ADF" w:rsidRDefault="008C47ED" w:rsidP="008C47ED">
      <w:pPr>
        <w:spacing w:after="0" w:line="240" w:lineRule="auto"/>
        <w:rPr>
          <w:rFonts w:ascii="Arial" w:hAnsi="Arial" w:cs="Arial"/>
          <w:sz w:val="24"/>
        </w:rPr>
      </w:pPr>
      <w:r w:rsidRPr="00641ADF">
        <w:rPr>
          <w:rFonts w:ascii="Arial" w:hAnsi="Arial" w:cs="Arial"/>
          <w:sz w:val="24"/>
        </w:rPr>
        <w:t xml:space="preserve">It is forecast that the ‘£37.5m ‘grant cap’ will be met in 2022/23. This is a year later than previously forecast, which is due to delays on some sites and others being delivered through Accelerated Construction. </w:t>
      </w:r>
    </w:p>
    <w:p w:rsidR="008C47ED" w:rsidRDefault="008C47ED" w:rsidP="008C47ED">
      <w:pPr>
        <w:pStyle w:val="ListParagraph"/>
        <w:autoSpaceDE w:val="0"/>
        <w:autoSpaceDN w:val="0"/>
        <w:adjustRightInd w:val="0"/>
        <w:spacing w:after="0" w:line="240" w:lineRule="auto"/>
        <w:ind w:left="709" w:firstLine="720"/>
        <w:rPr>
          <w:rFonts w:ascii="Arial" w:hAnsi="Arial" w:cs="Arial"/>
          <w:sz w:val="24"/>
          <w:szCs w:val="24"/>
        </w:rPr>
      </w:pPr>
    </w:p>
    <w:p w:rsidR="008C47ED" w:rsidRPr="008C47ED" w:rsidRDefault="008C47ED" w:rsidP="008C47ED">
      <w:pPr>
        <w:autoSpaceDE w:val="0"/>
        <w:autoSpaceDN w:val="0"/>
        <w:adjustRightInd w:val="0"/>
        <w:spacing w:after="0" w:line="240" w:lineRule="auto"/>
        <w:rPr>
          <w:rFonts w:ascii="Arial" w:hAnsi="Arial" w:cs="Arial"/>
          <w:b/>
          <w:sz w:val="24"/>
          <w:szCs w:val="24"/>
        </w:rPr>
      </w:pPr>
      <w:r w:rsidRPr="008C47ED">
        <w:rPr>
          <w:rFonts w:ascii="Arial" w:hAnsi="Arial" w:cs="Arial"/>
          <w:b/>
          <w:sz w:val="24"/>
          <w:szCs w:val="24"/>
        </w:rPr>
        <w:t>Risks, Emerging Issues and Milestones</w:t>
      </w:r>
    </w:p>
    <w:p w:rsidR="008C47ED" w:rsidRPr="00641ADF" w:rsidRDefault="008C47ED" w:rsidP="008C47ED">
      <w:pPr>
        <w:pStyle w:val="ListParagraph"/>
        <w:autoSpaceDE w:val="0"/>
        <w:autoSpaceDN w:val="0"/>
        <w:adjustRightInd w:val="0"/>
        <w:spacing w:after="0" w:line="240" w:lineRule="auto"/>
        <w:ind w:left="1418" w:hanging="709"/>
        <w:rPr>
          <w:rFonts w:ascii="Arial" w:hAnsi="Arial" w:cs="Arial"/>
          <w:b/>
          <w:sz w:val="28"/>
          <w:szCs w:val="24"/>
        </w:rPr>
      </w:pPr>
    </w:p>
    <w:p w:rsidR="008C47ED" w:rsidRPr="008C47ED" w:rsidRDefault="008C47ED" w:rsidP="008C47ED">
      <w:pPr>
        <w:spacing w:after="0" w:line="240" w:lineRule="auto"/>
        <w:rPr>
          <w:rFonts w:ascii="Arial" w:hAnsi="Arial" w:cs="Arial"/>
          <w:sz w:val="24"/>
        </w:rPr>
      </w:pPr>
      <w:r w:rsidRPr="008C47ED">
        <w:rPr>
          <w:rFonts w:ascii="Arial" w:hAnsi="Arial" w:cs="Arial"/>
          <w:sz w:val="24"/>
        </w:rPr>
        <w:t xml:space="preserve">At a project level the greatest risk around delivery of HCA sites sits with </w:t>
      </w:r>
      <w:proofErr w:type="spellStart"/>
      <w:r w:rsidRPr="008C47ED">
        <w:rPr>
          <w:rFonts w:ascii="Arial" w:hAnsi="Arial" w:cs="Arial"/>
          <w:sz w:val="24"/>
        </w:rPr>
        <w:t>Pickerings</w:t>
      </w:r>
      <w:proofErr w:type="spellEnd"/>
      <w:r w:rsidRPr="008C47ED">
        <w:rPr>
          <w:rFonts w:ascii="Arial" w:hAnsi="Arial" w:cs="Arial"/>
          <w:sz w:val="24"/>
        </w:rPr>
        <w:t xml:space="preserve"> Farm and Whittingham Hospital. </w:t>
      </w:r>
      <w:proofErr w:type="spellStart"/>
      <w:r w:rsidRPr="008C47ED">
        <w:rPr>
          <w:rFonts w:ascii="Arial" w:hAnsi="Arial" w:cs="Arial"/>
          <w:sz w:val="24"/>
        </w:rPr>
        <w:t>Pickerings</w:t>
      </w:r>
      <w:proofErr w:type="spellEnd"/>
      <w:r w:rsidRPr="008C47ED">
        <w:rPr>
          <w:rFonts w:ascii="Arial" w:hAnsi="Arial" w:cs="Arial"/>
          <w:sz w:val="24"/>
        </w:rPr>
        <w:t xml:space="preserve"> Farm is a large site complicated by the disparate ownership pattern, the presence of the west coast mainline to the eastern boundary and the scale of infrastructure that is required across the site. HCA are working closely with Taylor Wimpey to ensure both organisations commercial and corporate objectives can be achieved in a manner that delivers the site at the earliest opportunity.</w:t>
      </w:r>
    </w:p>
    <w:p w:rsidR="008C47ED" w:rsidRPr="00641ADF" w:rsidRDefault="008C47ED" w:rsidP="008C47ED">
      <w:pPr>
        <w:pStyle w:val="ListParagraph"/>
        <w:spacing w:after="0" w:line="240" w:lineRule="auto"/>
        <w:rPr>
          <w:rFonts w:ascii="Arial" w:hAnsi="Arial" w:cs="Arial"/>
          <w:sz w:val="24"/>
        </w:rPr>
      </w:pPr>
    </w:p>
    <w:p w:rsidR="008C47ED" w:rsidRPr="008C47ED" w:rsidRDefault="008C47ED" w:rsidP="008C47ED">
      <w:pPr>
        <w:spacing w:after="0" w:line="240" w:lineRule="auto"/>
        <w:rPr>
          <w:rFonts w:ascii="Arial" w:hAnsi="Arial" w:cs="Arial"/>
          <w:sz w:val="24"/>
        </w:rPr>
      </w:pPr>
      <w:r w:rsidRPr="008C47ED">
        <w:rPr>
          <w:rFonts w:ascii="Arial" w:hAnsi="Arial" w:cs="Arial"/>
          <w:sz w:val="24"/>
        </w:rPr>
        <w:t xml:space="preserve">The first phase of Whittingham Hospital is under development, however the marketing of the further development parcels has proved unsuccessful and highlighted the shortcomings in the appeal and deliverability of the site. In order to improve this situation, HCA are working towards a revised planning application that will reposition and potentially increase the quantum of residential to improve the viability and marketability of the site. HCA will work closely with City Deal partners to ensure the financial and delivery impacts of these changes are modelled and re-forecast. </w:t>
      </w:r>
    </w:p>
    <w:p w:rsidR="008C47ED" w:rsidRPr="00BA1CA2" w:rsidRDefault="008C47ED" w:rsidP="008C47ED">
      <w:pPr>
        <w:pStyle w:val="ListParagraph"/>
        <w:spacing w:after="0" w:line="240" w:lineRule="auto"/>
        <w:rPr>
          <w:rFonts w:ascii="Arial" w:hAnsi="Arial" w:cs="Arial"/>
          <w:sz w:val="24"/>
        </w:rPr>
      </w:pPr>
    </w:p>
    <w:p w:rsidR="008C47ED" w:rsidRPr="008C47ED" w:rsidRDefault="008C47ED" w:rsidP="008C47ED">
      <w:pPr>
        <w:autoSpaceDE w:val="0"/>
        <w:autoSpaceDN w:val="0"/>
        <w:adjustRightInd w:val="0"/>
        <w:spacing w:after="0" w:line="240" w:lineRule="auto"/>
        <w:rPr>
          <w:rFonts w:ascii="Arial" w:hAnsi="Arial" w:cs="Arial"/>
          <w:sz w:val="24"/>
          <w:szCs w:val="24"/>
        </w:rPr>
      </w:pPr>
      <w:r w:rsidRPr="008C47ED">
        <w:rPr>
          <w:rFonts w:ascii="Arial" w:hAnsi="Arial" w:cs="Arial"/>
          <w:sz w:val="24"/>
          <w:szCs w:val="24"/>
        </w:rPr>
        <w:t>Individual milestones for each project can be found in the BDP.</w:t>
      </w:r>
    </w:p>
    <w:p w:rsidR="00D3134F" w:rsidRPr="00D3134F" w:rsidRDefault="00D3134F" w:rsidP="00D3134F">
      <w:pPr>
        <w:spacing w:after="0" w:line="240" w:lineRule="auto"/>
        <w:rPr>
          <w:rFonts w:ascii="Arial" w:hAnsi="Arial" w:cs="Arial"/>
          <w:sz w:val="24"/>
          <w:szCs w:val="24"/>
        </w:rPr>
      </w:pPr>
    </w:p>
    <w:p w:rsidR="00054E0A" w:rsidRPr="009D435E" w:rsidRDefault="00054E0A" w:rsidP="00D3134F">
      <w:pPr>
        <w:pStyle w:val="NoSpacing"/>
        <w:jc w:val="both"/>
        <w:rPr>
          <w:rFonts w:cs="Arial"/>
          <w:szCs w:val="24"/>
        </w:rPr>
      </w:pPr>
    </w:p>
    <w:sectPr w:rsidR="00054E0A" w:rsidRPr="009D435E">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0DA" w:rsidRDefault="000400DA" w:rsidP="00440F6A">
      <w:pPr>
        <w:spacing w:after="0" w:line="240" w:lineRule="auto"/>
      </w:pPr>
      <w:r>
        <w:separator/>
      </w:r>
    </w:p>
  </w:endnote>
  <w:endnote w:type="continuationSeparator" w:id="0">
    <w:p w:rsidR="000400DA" w:rsidRDefault="000400DA" w:rsidP="0044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1" w:name="aliashAdvancedFooterprot1FooterEvenPages"/>
  </w:p>
  <w:bookmarkEnd w:id="1"/>
  <w:p w:rsidR="006A1583" w:rsidRDefault="006A1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2" w:name="aliashAdvancedFooterprotec1FooterPrimary"/>
  </w:p>
  <w:bookmarkEnd w:id="2"/>
  <w:p w:rsidR="006A1583" w:rsidRDefault="006A1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3" w:name="aliashAdvancedFooterprot1FooterFirstPage"/>
  </w:p>
  <w:bookmarkEnd w:id="3"/>
  <w:p w:rsidR="006A1583" w:rsidRDefault="006A1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DA" w:rsidRDefault="000400DA" w:rsidP="00440F6A">
      <w:pPr>
        <w:spacing w:after="0" w:line="240" w:lineRule="auto"/>
      </w:pPr>
      <w:r>
        <w:separator/>
      </w:r>
    </w:p>
  </w:footnote>
  <w:footnote w:type="continuationSeparator" w:id="0">
    <w:p w:rsidR="000400DA" w:rsidRDefault="000400DA" w:rsidP="00440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ED346B" w:rsidP="00054E0A">
    <w:pPr>
      <w:pStyle w:val="Header"/>
    </w:pPr>
    <w:r w:rsidRPr="00DA16C4">
      <w:rPr>
        <w:noProof/>
        <w:lang w:eastAsia="en-GB"/>
      </w:rPr>
      <w:drawing>
        <wp:inline distT="0" distB="0" distL="0" distR="0" wp14:anchorId="2C809399" wp14:editId="5BAB2C79">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5DB"/>
    <w:multiLevelType w:val="hybridMultilevel"/>
    <w:tmpl w:val="E752C19C"/>
    <w:lvl w:ilvl="0" w:tplc="F6302152">
      <w:start w:val="1"/>
      <w:numFmt w:val="lowerRoman"/>
      <w:lvlText w:val="(%1)"/>
      <w:lvlJc w:val="left"/>
      <w:pPr>
        <w:ind w:left="755" w:hanging="360"/>
      </w:pPr>
      <w:rPr>
        <w:rFonts w:ascii="Arial" w:eastAsiaTheme="minorHAnsi" w:hAnsi="Arial" w:cs="Arial"/>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 w15:restartNumberingAfterBreak="0">
    <w:nsid w:val="08A42B64"/>
    <w:multiLevelType w:val="hybridMultilevel"/>
    <w:tmpl w:val="C31C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F43C3"/>
    <w:multiLevelType w:val="hybridMultilevel"/>
    <w:tmpl w:val="B3881B38"/>
    <w:lvl w:ilvl="0" w:tplc="08090001">
      <w:start w:val="1"/>
      <w:numFmt w:val="bullet"/>
      <w:lvlText w:val=""/>
      <w:lvlJc w:val="left"/>
      <w:pPr>
        <w:ind w:left="1287" w:hanging="360"/>
      </w:pPr>
      <w:rPr>
        <w:rFonts w:ascii="Symbol" w:hAnsi="Symbol" w:hint="default"/>
        <w: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F060D89"/>
    <w:multiLevelType w:val="hybridMultilevel"/>
    <w:tmpl w:val="C5D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9788C"/>
    <w:multiLevelType w:val="hybridMultilevel"/>
    <w:tmpl w:val="A4A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A6E8A"/>
    <w:multiLevelType w:val="multilevel"/>
    <w:tmpl w:val="60FAD34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6B048F4"/>
    <w:multiLevelType w:val="multilevel"/>
    <w:tmpl w:val="06986C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8016966"/>
    <w:multiLevelType w:val="multilevel"/>
    <w:tmpl w:val="5C66503A"/>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5EED6CB2"/>
    <w:multiLevelType w:val="multilevel"/>
    <w:tmpl w:val="583EA4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8E2F9B"/>
    <w:multiLevelType w:val="hybridMultilevel"/>
    <w:tmpl w:val="35DE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1"/>
  </w:num>
  <w:num w:numId="5">
    <w:abstractNumId w:val="6"/>
  </w:num>
  <w:num w:numId="6">
    <w:abstractNumId w:val="8"/>
  </w:num>
  <w:num w:numId="7">
    <w:abstractNumId w:val="0"/>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6A"/>
    <w:rsid w:val="00001F21"/>
    <w:rsid w:val="00015224"/>
    <w:rsid w:val="000400DA"/>
    <w:rsid w:val="000448F5"/>
    <w:rsid w:val="00054E0A"/>
    <w:rsid w:val="00082D91"/>
    <w:rsid w:val="000A0ADC"/>
    <w:rsid w:val="000B5CB9"/>
    <w:rsid w:val="000D16D8"/>
    <w:rsid w:val="001066AE"/>
    <w:rsid w:val="00150D20"/>
    <w:rsid w:val="00153818"/>
    <w:rsid w:val="001666DA"/>
    <w:rsid w:val="00193925"/>
    <w:rsid w:val="001A4FDA"/>
    <w:rsid w:val="001D3586"/>
    <w:rsid w:val="001E0DA5"/>
    <w:rsid w:val="001F672D"/>
    <w:rsid w:val="00221C44"/>
    <w:rsid w:val="00233B5B"/>
    <w:rsid w:val="0026380D"/>
    <w:rsid w:val="002823A0"/>
    <w:rsid w:val="002B4333"/>
    <w:rsid w:val="002E1234"/>
    <w:rsid w:val="00303742"/>
    <w:rsid w:val="0035652C"/>
    <w:rsid w:val="00373267"/>
    <w:rsid w:val="0037633C"/>
    <w:rsid w:val="003B6A3F"/>
    <w:rsid w:val="003B7175"/>
    <w:rsid w:val="00440F6A"/>
    <w:rsid w:val="00442C68"/>
    <w:rsid w:val="0044360A"/>
    <w:rsid w:val="004B02C9"/>
    <w:rsid w:val="004C2AD8"/>
    <w:rsid w:val="004F7E22"/>
    <w:rsid w:val="005023C6"/>
    <w:rsid w:val="00516FB0"/>
    <w:rsid w:val="005962FC"/>
    <w:rsid w:val="0061223E"/>
    <w:rsid w:val="00676189"/>
    <w:rsid w:val="006A1583"/>
    <w:rsid w:val="007C7D8F"/>
    <w:rsid w:val="007D3EFC"/>
    <w:rsid w:val="007E6239"/>
    <w:rsid w:val="00807C4B"/>
    <w:rsid w:val="008427F3"/>
    <w:rsid w:val="008946E8"/>
    <w:rsid w:val="008C47ED"/>
    <w:rsid w:val="008F0B5F"/>
    <w:rsid w:val="00946DB8"/>
    <w:rsid w:val="009A45BB"/>
    <w:rsid w:val="009D435E"/>
    <w:rsid w:val="009F3706"/>
    <w:rsid w:val="00AB3E86"/>
    <w:rsid w:val="00AC4EA1"/>
    <w:rsid w:val="00AF6140"/>
    <w:rsid w:val="00AF6F3E"/>
    <w:rsid w:val="00B34F4D"/>
    <w:rsid w:val="00B63660"/>
    <w:rsid w:val="00BE1763"/>
    <w:rsid w:val="00C07FAB"/>
    <w:rsid w:val="00C41902"/>
    <w:rsid w:val="00C668A2"/>
    <w:rsid w:val="00CB0C33"/>
    <w:rsid w:val="00CE5CB2"/>
    <w:rsid w:val="00D04A61"/>
    <w:rsid w:val="00D3134F"/>
    <w:rsid w:val="00D70F5F"/>
    <w:rsid w:val="00D94268"/>
    <w:rsid w:val="00DB0E4B"/>
    <w:rsid w:val="00DB1A72"/>
    <w:rsid w:val="00DC521A"/>
    <w:rsid w:val="00DD5D82"/>
    <w:rsid w:val="00DE07D7"/>
    <w:rsid w:val="00DE39D4"/>
    <w:rsid w:val="00E07137"/>
    <w:rsid w:val="00E1211C"/>
    <w:rsid w:val="00E140D8"/>
    <w:rsid w:val="00E22C8C"/>
    <w:rsid w:val="00E805E8"/>
    <w:rsid w:val="00ED24C9"/>
    <w:rsid w:val="00ED346B"/>
    <w:rsid w:val="00EF579A"/>
    <w:rsid w:val="00F277F8"/>
    <w:rsid w:val="00F3667B"/>
    <w:rsid w:val="00F41D53"/>
    <w:rsid w:val="00F54335"/>
    <w:rsid w:val="00F770D9"/>
    <w:rsid w:val="00FA1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7E36222-B3BE-4B45-9183-AACA0BA5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2879">
      <w:bodyDiv w:val="1"/>
      <w:marLeft w:val="0"/>
      <w:marRight w:val="0"/>
      <w:marTop w:val="0"/>
      <w:marBottom w:val="0"/>
      <w:divBdr>
        <w:top w:val="none" w:sz="0" w:space="0" w:color="auto"/>
        <w:left w:val="none" w:sz="0" w:space="0" w:color="auto"/>
        <w:bottom w:val="none" w:sz="0" w:space="0" w:color="auto"/>
        <w:right w:val="none" w:sz="0" w:space="0" w:color="auto"/>
      </w:divBdr>
    </w:div>
    <w:div w:id="1387338331">
      <w:bodyDiv w:val="1"/>
      <w:marLeft w:val="0"/>
      <w:marRight w:val="0"/>
      <w:marTop w:val="0"/>
      <w:marBottom w:val="0"/>
      <w:divBdr>
        <w:top w:val="none" w:sz="0" w:space="0" w:color="auto"/>
        <w:left w:val="none" w:sz="0" w:space="0" w:color="auto"/>
        <w:bottom w:val="none" w:sz="0" w:space="0" w:color="auto"/>
        <w:right w:val="none" w:sz="0" w:space="0" w:color="auto"/>
      </w:divBdr>
    </w:div>
    <w:div w:id="21206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EF258-0B67-4948-BD51-50A11F88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11</cp:revision>
  <cp:lastPrinted>2015-01-28T14:27:00Z</cp:lastPrinted>
  <dcterms:created xsi:type="dcterms:W3CDTF">2015-03-30T10:11:00Z</dcterms:created>
  <dcterms:modified xsi:type="dcterms:W3CDTF">2017-09-12T08:28:00Z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b16076df-281e-485b-ac3b-6fbc29115d7d</vt:lpwstr>
  </property>
  <property fmtid="{D5CDD505-2E9C-101B-9397-08002B2CF9AE}" pid="3" name="HCAGPMS">
    <vt:lpwstr>OFFICIAL</vt:lpwstr>
  </property>
  <property fmtid="{D5CDD505-2E9C-101B-9397-08002B2CF9AE}" pid="4" name="IssueTitle">
    <vt:lpwstr>Preston, South Ribble and Lancashire City Deal: HCA Business and Disposal Plan (2017-20)</vt:lpwstr>
  </property>
  <property fmtid="{D5CDD505-2E9C-101B-9397-08002B2CF9AE}" pid="5" name="LeadOfficer">
    <vt:lpwstr>Andy Milroy</vt:lpwstr>
  </property>
  <property fmtid="{D5CDD505-2E9C-101B-9397-08002B2CF9AE}" pid="6" name="LeadOfficerTel">
    <vt:lpwstr>Tel: 01772 530354</vt:lpwstr>
  </property>
  <property fmtid="{D5CDD505-2E9C-101B-9397-08002B2CF9AE}" pid="7" name="LeadOfficerEmail">
    <vt:lpwstr>andy.milroy@lancashire.gov.uk</vt:lpwstr>
  </property>
  <property fmtid="{D5CDD505-2E9C-101B-9397-08002B2CF9AE}" pid="8" name="MeetingDate">
    <vt:lpwstr>Monday, 18 September 2017</vt:lpwstr>
  </property>
</Properties>
</file>